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448" w:rsidRDefault="00405448">
      <w:pPr>
        <w:spacing w:before="5" w:line="100" w:lineRule="exact"/>
        <w:rPr>
          <w:sz w:val="10"/>
          <w:szCs w:val="10"/>
        </w:rPr>
      </w:pPr>
    </w:p>
    <w:p w:rsidR="008F7C6A" w:rsidRDefault="008F7C6A">
      <w:pPr>
        <w:pStyle w:val="Titolo1"/>
        <w:spacing w:before="70" w:line="266" w:lineRule="exact"/>
        <w:ind w:left="401" w:right="436"/>
        <w:rPr>
          <w:color w:val="001F5F"/>
          <w:spacing w:val="-2"/>
        </w:rPr>
      </w:pPr>
    </w:p>
    <w:p w:rsidR="00561B53" w:rsidRPr="00561B53" w:rsidRDefault="00561B53" w:rsidP="00561B53">
      <w:pPr>
        <w:ind w:right="30"/>
        <w:jc w:val="center"/>
        <w:rPr>
          <w:rFonts w:ascii="Verdana" w:eastAsia="Verdana" w:hAnsi="Verdana"/>
          <w:b/>
          <w:bCs/>
          <w:color w:val="001F5F"/>
          <w:spacing w:val="-2"/>
        </w:rPr>
      </w:pPr>
      <w:r w:rsidRPr="00561B53">
        <w:rPr>
          <w:rFonts w:ascii="Verdana" w:eastAsia="Verdana" w:hAnsi="Verdana"/>
          <w:b/>
          <w:bCs/>
          <w:color w:val="001F5F"/>
          <w:spacing w:val="-2"/>
        </w:rPr>
        <w:t xml:space="preserve">PNRR-TNE International Mobility </w:t>
      </w:r>
      <w:proofErr w:type="spellStart"/>
      <w:r w:rsidRPr="00561B53">
        <w:rPr>
          <w:rFonts w:ascii="Verdana" w:eastAsia="Verdana" w:hAnsi="Verdana"/>
          <w:b/>
          <w:bCs/>
          <w:color w:val="001F5F"/>
          <w:spacing w:val="-2"/>
        </w:rPr>
        <w:t>Programme</w:t>
      </w:r>
      <w:proofErr w:type="spellEnd"/>
      <w:r w:rsidRPr="00561B53">
        <w:rPr>
          <w:rFonts w:ascii="Verdana" w:eastAsia="Verdana" w:hAnsi="Verdana"/>
          <w:b/>
          <w:bCs/>
          <w:color w:val="001F5F"/>
          <w:spacing w:val="-2"/>
        </w:rPr>
        <w:t xml:space="preserve"> - Health Education and Advanced Learning Through Collaboration, Opportunities, Networking, and Educational Connections in Balkans and Asian Countries</w:t>
      </w:r>
    </w:p>
    <w:p w:rsidR="00561B53" w:rsidRPr="00561B53" w:rsidRDefault="00561B53" w:rsidP="00561B53">
      <w:pPr>
        <w:ind w:right="30"/>
        <w:jc w:val="center"/>
        <w:rPr>
          <w:rFonts w:ascii="Verdana" w:eastAsia="Verdana" w:hAnsi="Verdana"/>
          <w:b/>
          <w:bCs/>
          <w:color w:val="001F5F"/>
          <w:spacing w:val="-2"/>
        </w:rPr>
      </w:pPr>
      <w:r w:rsidRPr="00561B53">
        <w:rPr>
          <w:rFonts w:ascii="Verdana" w:eastAsia="Verdana" w:hAnsi="Verdana"/>
          <w:b/>
          <w:bCs/>
          <w:color w:val="001F5F"/>
          <w:spacing w:val="-2"/>
        </w:rPr>
        <w:t>(Health Connect)</w:t>
      </w:r>
    </w:p>
    <w:p w:rsidR="00405448" w:rsidRDefault="00561B53" w:rsidP="00561B53">
      <w:pPr>
        <w:ind w:right="30"/>
        <w:jc w:val="center"/>
        <w:rPr>
          <w:rFonts w:ascii="Verdana" w:eastAsia="Verdana" w:hAnsi="Verdana" w:cs="Verdana"/>
        </w:rPr>
      </w:pPr>
      <w:r w:rsidRPr="00561B53">
        <w:rPr>
          <w:rFonts w:ascii="Verdana" w:eastAsia="Verdana" w:hAnsi="Verdana"/>
          <w:b/>
          <w:bCs/>
          <w:color w:val="001F5F"/>
          <w:spacing w:val="-2"/>
        </w:rPr>
        <w:t>Project Proposal TNE23-00059 – CUP F91B24000320006</w:t>
      </w:r>
    </w:p>
    <w:p w:rsidR="00405448" w:rsidRDefault="00405448">
      <w:pPr>
        <w:spacing w:before="6" w:line="190" w:lineRule="exact"/>
        <w:rPr>
          <w:sz w:val="19"/>
          <w:szCs w:val="19"/>
        </w:rPr>
      </w:pPr>
    </w:p>
    <w:p w:rsidR="00405448" w:rsidRDefault="00405448">
      <w:pPr>
        <w:spacing w:line="200" w:lineRule="exact"/>
        <w:rPr>
          <w:sz w:val="20"/>
          <w:szCs w:val="20"/>
        </w:rPr>
      </w:pPr>
    </w:p>
    <w:p w:rsidR="00255C47" w:rsidRDefault="002F3B02" w:rsidP="002F3B02">
      <w:pPr>
        <w:pStyle w:val="Corpotesto"/>
        <w:ind w:left="0" w:firstLine="0"/>
      </w:pPr>
      <w:r w:rsidRPr="002F3B02">
        <w:t>A selection process is announced for the assignment of mobility grants for study, internships, and thesis research at the partner universities of the PNRR/TNE Health Connect Project (CUP F91B24000320006).</w:t>
      </w:r>
    </w:p>
    <w:p w:rsidR="002F3B02" w:rsidRDefault="002F3B02" w:rsidP="002F3B02">
      <w:pPr>
        <w:pStyle w:val="Corpotesto"/>
        <w:ind w:left="0" w:firstLine="0"/>
      </w:pPr>
      <w:r w:rsidRPr="002F3B02">
        <w:br/>
        <w:t xml:space="preserve">The mobility must be completed by </w:t>
      </w:r>
      <w:r w:rsidRPr="00255C47">
        <w:rPr>
          <w:b/>
        </w:rPr>
        <w:t>March 31, 2026</w:t>
      </w:r>
      <w:r w:rsidRPr="002F3B02">
        <w:t xml:space="preserve">. </w:t>
      </w:r>
    </w:p>
    <w:p w:rsidR="002F3B02" w:rsidRPr="002F3B02" w:rsidRDefault="002F3B02" w:rsidP="002F3B02">
      <w:pPr>
        <w:pStyle w:val="Corpotesto"/>
        <w:ind w:left="0" w:firstLine="0"/>
      </w:pPr>
    </w:p>
    <w:p w:rsidR="002F3B02" w:rsidRDefault="002F3B02" w:rsidP="00255C47">
      <w:pPr>
        <w:pStyle w:val="Titolo1"/>
        <w:rPr>
          <w:lang w:eastAsia="it-IT"/>
        </w:rPr>
      </w:pPr>
      <w:r w:rsidRPr="002F3B02">
        <w:rPr>
          <w:lang w:eastAsia="it-IT"/>
        </w:rPr>
        <w:t xml:space="preserve">1 - Eligible Candidates </w:t>
      </w:r>
    </w:p>
    <w:p w:rsidR="002F3B02" w:rsidRDefault="002F3B02" w:rsidP="002F3B02">
      <w:pPr>
        <w:pStyle w:val="Corpotesto"/>
        <w:ind w:left="0" w:firstLine="0"/>
        <w:rPr>
          <w:rFonts w:eastAsia="Times New Roman"/>
          <w:lang w:eastAsia="it-IT"/>
        </w:rPr>
      </w:pPr>
      <w:r w:rsidRPr="002F3B02">
        <w:rPr>
          <w:rFonts w:eastAsia="Times New Roman"/>
          <w:lang w:eastAsia="it-IT"/>
        </w:rPr>
        <w:t>Students enrolled in first, second, or third-cycle degree programs at partner universities of the PNRR/TNE project are eligible to participate in this selection notice.</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Candidates must meet each partner university's academic and language requirements, as outlined</w:t>
      </w:r>
      <w:r w:rsidR="00255C47">
        <w:rPr>
          <w:rFonts w:eastAsia="Times New Roman"/>
          <w:lang w:eastAsia="it-IT"/>
        </w:rPr>
        <w:t xml:space="preserve"> </w:t>
      </w:r>
      <w:r w:rsidRPr="002F3B02">
        <w:rPr>
          <w:rFonts w:eastAsia="Times New Roman"/>
          <w:lang w:eastAsia="it-IT"/>
        </w:rPr>
        <w:t xml:space="preserve">in Article 5 of this selection notice. </w:t>
      </w:r>
    </w:p>
    <w:p w:rsidR="002F3B02" w:rsidRDefault="002F3B02" w:rsidP="002F3B02">
      <w:pPr>
        <w:pStyle w:val="Corpotesto"/>
        <w:ind w:left="0" w:firstLine="0"/>
        <w:rPr>
          <w:rFonts w:eastAsia="Times New Roman"/>
          <w:lang w:eastAsia="it-IT"/>
        </w:rPr>
      </w:pPr>
      <w:r w:rsidRPr="002F3B02">
        <w:rPr>
          <w:rFonts w:eastAsia="Times New Roman"/>
          <w:lang w:eastAsia="it-IT"/>
        </w:rPr>
        <w:t>Each partner university limits access to a particular level of study (first, second, or third cycle); therefore, only applications that align with the level of study required by the host university will be</w:t>
      </w:r>
      <w:r w:rsidR="00255C47">
        <w:rPr>
          <w:rFonts w:eastAsia="Times New Roman"/>
          <w:lang w:eastAsia="it-IT"/>
        </w:rPr>
        <w:t xml:space="preserve"> </w:t>
      </w:r>
      <w:r w:rsidRPr="002F3B02">
        <w:rPr>
          <w:rFonts w:eastAsia="Times New Roman"/>
          <w:lang w:eastAsia="it-IT"/>
        </w:rPr>
        <w:t xml:space="preserve">considered. </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p>
    <w:p w:rsidR="002F3B02" w:rsidRPr="002F3B02" w:rsidRDefault="002F3B02" w:rsidP="00255C47">
      <w:pPr>
        <w:pStyle w:val="Titolo1"/>
        <w:rPr>
          <w:rFonts w:ascii="Times New Roman" w:hAnsi="Times New Roman"/>
          <w:sz w:val="24"/>
          <w:szCs w:val="24"/>
          <w:lang w:eastAsia="it-IT"/>
        </w:rPr>
      </w:pPr>
      <w:r w:rsidRPr="002F3B02">
        <w:rPr>
          <w:lang w:eastAsia="it-IT"/>
        </w:rPr>
        <w:t xml:space="preserve">2 - Duration of Mobility and Allowed Activities </w:t>
      </w:r>
    </w:p>
    <w:p w:rsidR="002F3B02" w:rsidRPr="00BF180A"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The mobility period for students must have a minimum duration of 2 months (60 days) and a maximum of 6 months, excluding travel time. The duration of mobility for the study will depend on the academic calendars of the partner universities.</w:t>
      </w:r>
      <w:r w:rsidRPr="002F3B02">
        <w:rPr>
          <w:rFonts w:eastAsia="Times New Roman"/>
          <w:lang w:eastAsia="it-IT"/>
        </w:rPr>
        <w:br/>
      </w:r>
      <w:r w:rsidRPr="00BF180A">
        <w:rPr>
          <w:rFonts w:eastAsia="Times New Roman"/>
          <w:lang w:eastAsia="it-IT"/>
        </w:rPr>
        <w:t xml:space="preserve">Permitted activities during the mobility abroad include: </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 xml:space="preserve">-  Attending courses, workshops and/or academic activities; </w:t>
      </w:r>
    </w:p>
    <w:p w:rsidR="002F3B02" w:rsidRDefault="002F3B02" w:rsidP="002F3B02">
      <w:pPr>
        <w:pStyle w:val="Corpotesto"/>
        <w:ind w:left="0" w:firstLine="0"/>
        <w:rPr>
          <w:rFonts w:eastAsia="Times New Roman"/>
          <w:lang w:eastAsia="it-IT"/>
        </w:rPr>
      </w:pPr>
      <w:r w:rsidRPr="002F3B02">
        <w:rPr>
          <w:rFonts w:eastAsia="Times New Roman"/>
          <w:lang w:eastAsia="it-IT"/>
        </w:rPr>
        <w:t xml:space="preserve">-  Research aimed at thesis preparation; </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 xml:space="preserve">- </w:t>
      </w:r>
      <w:r>
        <w:rPr>
          <w:rFonts w:eastAsia="Times New Roman"/>
          <w:lang w:eastAsia="it-IT"/>
        </w:rPr>
        <w:t xml:space="preserve"> </w:t>
      </w:r>
      <w:r w:rsidRPr="002F3B02">
        <w:rPr>
          <w:rFonts w:eastAsia="Times New Roman"/>
          <w:lang w:eastAsia="it-IT"/>
        </w:rPr>
        <w:t xml:space="preserve">Traineeship/Internships. </w:t>
      </w:r>
    </w:p>
    <w:p w:rsidR="002F3B02" w:rsidRDefault="002F3B02" w:rsidP="002F3B02">
      <w:pPr>
        <w:pStyle w:val="Corpotesto"/>
        <w:ind w:left="0" w:firstLine="0"/>
        <w:rPr>
          <w:rFonts w:eastAsia="Times New Roman"/>
          <w:lang w:eastAsia="it-IT"/>
        </w:rPr>
      </w:pPr>
    </w:p>
    <w:p w:rsidR="002F3B02" w:rsidRDefault="002F3B02" w:rsidP="002F3B02">
      <w:pPr>
        <w:pStyle w:val="Corpotesto"/>
        <w:ind w:left="0" w:firstLine="0"/>
        <w:rPr>
          <w:rFonts w:eastAsia="Times New Roman"/>
          <w:lang w:eastAsia="it-IT"/>
        </w:rPr>
      </w:pPr>
      <w:r w:rsidRPr="002F3B02">
        <w:rPr>
          <w:rFonts w:eastAsia="Times New Roman"/>
          <w:lang w:eastAsia="it-IT"/>
        </w:rPr>
        <w:t>Students must attend at least one of the didactical activities foreseen in the Learning Agreement (LA). If a student fails to participate at 90% of all the courses listed in the LA, they will be required to return the financial contribution received.</w:t>
      </w:r>
      <w:r w:rsidRPr="002F3B02">
        <w:rPr>
          <w:rFonts w:eastAsia="Times New Roman"/>
          <w:lang w:eastAsia="it-IT"/>
        </w:rPr>
        <w:br/>
        <w:t xml:space="preserve">Applicants must provide proof of attendance: classes, the laboratory or internship and a report of the research activity. If the certificate of attendance and the report is not provided, the participant will be required to return the financial contribution received. </w:t>
      </w:r>
    </w:p>
    <w:p w:rsidR="00710C12" w:rsidRDefault="00710C12" w:rsidP="002F3B02">
      <w:pPr>
        <w:pStyle w:val="Corpotesto"/>
        <w:ind w:left="0" w:firstLine="0"/>
        <w:rPr>
          <w:rFonts w:eastAsia="Times New Roman"/>
          <w:lang w:eastAsia="it-IT"/>
        </w:rPr>
      </w:pPr>
    </w:p>
    <w:p w:rsidR="00710C12" w:rsidRPr="00710C12" w:rsidRDefault="00710C12" w:rsidP="00710C12">
      <w:pPr>
        <w:pStyle w:val="Corpotesto"/>
        <w:rPr>
          <w:rFonts w:eastAsia="Times New Roman"/>
          <w:lang w:eastAsia="it-IT"/>
        </w:rPr>
      </w:pPr>
      <w:r w:rsidRPr="00710C12">
        <w:rPr>
          <w:rFonts w:eastAsia="Times New Roman"/>
          <w:lang w:eastAsia="it-IT"/>
        </w:rPr>
        <w:t>Students can choose between two scientific fields, corresponding to two Work Packages (WPs):</w:t>
      </w:r>
    </w:p>
    <w:p w:rsidR="00710C12" w:rsidRPr="00710C12" w:rsidRDefault="00710C12" w:rsidP="00710C12">
      <w:pPr>
        <w:pStyle w:val="Corpotesto"/>
        <w:rPr>
          <w:rFonts w:eastAsia="Times New Roman"/>
          <w:b/>
          <w:bCs/>
          <w:lang w:eastAsia="it-IT"/>
        </w:rPr>
      </w:pPr>
    </w:p>
    <w:p w:rsidR="00710C12" w:rsidRPr="00710C12" w:rsidRDefault="00710C12" w:rsidP="00710C12">
      <w:pPr>
        <w:pStyle w:val="Corpotesto"/>
        <w:rPr>
          <w:rFonts w:eastAsia="Times New Roman"/>
          <w:lang w:eastAsia="it-IT"/>
        </w:rPr>
      </w:pPr>
      <w:r w:rsidRPr="00710C12">
        <w:rPr>
          <w:rFonts w:eastAsia="Times New Roman"/>
          <w:b/>
          <w:bCs/>
          <w:lang w:eastAsia="it-IT"/>
        </w:rPr>
        <w:t>WP2: Artificial Intelligence and Advanced Engineering Tools Applied to Medicine</w:t>
      </w:r>
      <w:r w:rsidRPr="00710C12">
        <w:rPr>
          <w:rFonts w:eastAsia="Times New Roman"/>
          <w:lang w:eastAsia="it-IT"/>
        </w:rPr>
        <w:t>, which includes:</w:t>
      </w:r>
    </w:p>
    <w:p w:rsidR="00710C12" w:rsidRPr="00710C12" w:rsidRDefault="00710C12" w:rsidP="00710C12">
      <w:pPr>
        <w:pStyle w:val="Corpotesto"/>
        <w:numPr>
          <w:ilvl w:val="0"/>
          <w:numId w:val="7"/>
        </w:numPr>
        <w:rPr>
          <w:rFonts w:eastAsia="Times New Roman"/>
          <w:lang w:eastAsia="it-IT"/>
        </w:rPr>
      </w:pPr>
      <w:r w:rsidRPr="00710C12">
        <w:rPr>
          <w:rFonts w:eastAsia="Times New Roman"/>
          <w:lang w:eastAsia="it-IT"/>
        </w:rPr>
        <w:t>AI, Augmented and Virtual Reality (AVR), and Big Data for Healthcare (HC) management, efficient decision-making, and Digital Health (DH)</w:t>
      </w:r>
    </w:p>
    <w:p w:rsidR="00710C12" w:rsidRPr="00710C12" w:rsidRDefault="00710C12" w:rsidP="00710C12">
      <w:pPr>
        <w:pStyle w:val="Corpotesto"/>
        <w:numPr>
          <w:ilvl w:val="0"/>
          <w:numId w:val="7"/>
        </w:numPr>
        <w:rPr>
          <w:rFonts w:eastAsia="Times New Roman"/>
          <w:lang w:eastAsia="it-IT"/>
        </w:rPr>
      </w:pPr>
      <w:r w:rsidRPr="00710C12">
        <w:rPr>
          <w:rFonts w:eastAsia="Times New Roman"/>
          <w:lang w:eastAsia="it-IT"/>
        </w:rPr>
        <w:t>AI and AVR for HC management and efficient decision-making</w:t>
      </w:r>
    </w:p>
    <w:p w:rsidR="00710C12" w:rsidRPr="00710C12" w:rsidRDefault="00710C12" w:rsidP="00710C12">
      <w:pPr>
        <w:pStyle w:val="Corpotesto"/>
        <w:numPr>
          <w:ilvl w:val="0"/>
          <w:numId w:val="7"/>
        </w:numPr>
        <w:rPr>
          <w:rFonts w:eastAsia="Times New Roman"/>
          <w:lang w:eastAsia="it-IT"/>
        </w:rPr>
      </w:pPr>
      <w:r w:rsidRPr="00710C12">
        <w:rPr>
          <w:rFonts w:eastAsia="Times New Roman"/>
          <w:lang w:eastAsia="it-IT"/>
        </w:rPr>
        <w:t>Explainable AI (</w:t>
      </w:r>
      <w:proofErr w:type="spellStart"/>
      <w:r w:rsidRPr="00710C12">
        <w:rPr>
          <w:rFonts w:eastAsia="Times New Roman"/>
          <w:lang w:eastAsia="it-IT"/>
        </w:rPr>
        <w:t>xAI</w:t>
      </w:r>
      <w:proofErr w:type="spellEnd"/>
      <w:r w:rsidRPr="00710C12">
        <w:rPr>
          <w:rFonts w:eastAsia="Times New Roman"/>
          <w:lang w:eastAsia="it-IT"/>
        </w:rPr>
        <w:t>) for HC applications</w:t>
      </w:r>
    </w:p>
    <w:p w:rsidR="00710C12" w:rsidRPr="00710C12" w:rsidRDefault="00710C12" w:rsidP="00710C12">
      <w:pPr>
        <w:pStyle w:val="Corpotesto"/>
        <w:numPr>
          <w:ilvl w:val="0"/>
          <w:numId w:val="7"/>
        </w:numPr>
        <w:rPr>
          <w:rFonts w:eastAsia="Times New Roman"/>
          <w:lang w:val="it-IT" w:eastAsia="it-IT"/>
        </w:rPr>
      </w:pPr>
      <w:r w:rsidRPr="00710C12">
        <w:rPr>
          <w:rFonts w:eastAsia="Times New Roman"/>
          <w:lang w:val="it-IT" w:eastAsia="it-IT"/>
        </w:rPr>
        <w:t>Advanced Machine Learning</w:t>
      </w:r>
    </w:p>
    <w:p w:rsidR="00710C12" w:rsidRPr="00710C12" w:rsidRDefault="00710C12" w:rsidP="00710C12">
      <w:pPr>
        <w:pStyle w:val="Corpotesto"/>
        <w:numPr>
          <w:ilvl w:val="0"/>
          <w:numId w:val="7"/>
        </w:numPr>
        <w:rPr>
          <w:rFonts w:eastAsia="Times New Roman"/>
          <w:lang w:eastAsia="it-IT"/>
        </w:rPr>
      </w:pPr>
      <w:r w:rsidRPr="00710C12">
        <w:rPr>
          <w:rFonts w:eastAsia="Times New Roman"/>
          <w:lang w:eastAsia="it-IT"/>
        </w:rPr>
        <w:t>Simulation tools and materials for Emergency Medicine training</w:t>
      </w:r>
    </w:p>
    <w:p w:rsidR="00710C12" w:rsidRPr="00710C12" w:rsidRDefault="00710C12" w:rsidP="00710C12">
      <w:pPr>
        <w:pStyle w:val="Corpotesto"/>
        <w:numPr>
          <w:ilvl w:val="0"/>
          <w:numId w:val="7"/>
        </w:numPr>
        <w:rPr>
          <w:rFonts w:eastAsia="Times New Roman"/>
          <w:lang w:eastAsia="it-IT"/>
        </w:rPr>
      </w:pPr>
      <w:proofErr w:type="spellStart"/>
      <w:r w:rsidRPr="00710C12">
        <w:rPr>
          <w:rFonts w:eastAsia="Times New Roman"/>
          <w:lang w:eastAsia="it-IT"/>
        </w:rPr>
        <w:t>xAI</w:t>
      </w:r>
      <w:proofErr w:type="spellEnd"/>
      <w:r w:rsidRPr="00710C12">
        <w:rPr>
          <w:rFonts w:eastAsia="Times New Roman"/>
          <w:lang w:eastAsia="it-IT"/>
        </w:rPr>
        <w:t xml:space="preserve"> for </w:t>
      </w:r>
      <w:proofErr w:type="spellStart"/>
      <w:r w:rsidRPr="00710C12">
        <w:rPr>
          <w:rFonts w:eastAsia="Times New Roman"/>
          <w:lang w:eastAsia="it-IT"/>
        </w:rPr>
        <w:t>Biosignals</w:t>
      </w:r>
      <w:proofErr w:type="spellEnd"/>
      <w:r w:rsidRPr="00710C12">
        <w:rPr>
          <w:rFonts w:eastAsia="Times New Roman"/>
          <w:lang w:eastAsia="it-IT"/>
        </w:rPr>
        <w:t xml:space="preserve"> and Biomedical Images</w:t>
      </w:r>
    </w:p>
    <w:p w:rsidR="00710C12" w:rsidRPr="00710C12" w:rsidRDefault="00710C12" w:rsidP="00710C12">
      <w:pPr>
        <w:pStyle w:val="Corpotesto"/>
        <w:numPr>
          <w:ilvl w:val="0"/>
          <w:numId w:val="7"/>
        </w:numPr>
        <w:rPr>
          <w:rFonts w:eastAsia="Times New Roman"/>
          <w:lang w:val="it-IT" w:eastAsia="it-IT"/>
        </w:rPr>
      </w:pPr>
      <w:r w:rsidRPr="00710C12">
        <w:rPr>
          <w:rFonts w:eastAsia="Times New Roman"/>
          <w:lang w:val="it-IT" w:eastAsia="it-IT"/>
        </w:rPr>
        <w:t xml:space="preserve">Smart </w:t>
      </w:r>
      <w:proofErr w:type="spellStart"/>
      <w:r w:rsidRPr="00710C12">
        <w:rPr>
          <w:rFonts w:eastAsia="Times New Roman"/>
          <w:lang w:val="it-IT" w:eastAsia="it-IT"/>
        </w:rPr>
        <w:t>Health</w:t>
      </w:r>
      <w:proofErr w:type="spellEnd"/>
      <w:r w:rsidRPr="00710C12">
        <w:rPr>
          <w:rFonts w:eastAsia="Times New Roman"/>
          <w:lang w:val="it-IT" w:eastAsia="it-IT"/>
        </w:rPr>
        <w:t xml:space="preserve"> Management curricula </w:t>
      </w:r>
      <w:proofErr w:type="spellStart"/>
      <w:r w:rsidRPr="00710C12">
        <w:rPr>
          <w:rFonts w:eastAsia="Times New Roman"/>
          <w:lang w:val="it-IT" w:eastAsia="it-IT"/>
        </w:rPr>
        <w:t>development</w:t>
      </w:r>
      <w:proofErr w:type="spellEnd"/>
    </w:p>
    <w:p w:rsidR="00710C12" w:rsidRPr="00710C12" w:rsidRDefault="00710C12" w:rsidP="00710C12">
      <w:pPr>
        <w:pStyle w:val="Corpotesto"/>
        <w:numPr>
          <w:ilvl w:val="0"/>
          <w:numId w:val="7"/>
        </w:numPr>
        <w:rPr>
          <w:rFonts w:eastAsia="Times New Roman"/>
          <w:lang w:eastAsia="it-IT"/>
        </w:rPr>
      </w:pPr>
      <w:r w:rsidRPr="00710C12">
        <w:rPr>
          <w:rFonts w:eastAsia="Times New Roman"/>
          <w:lang w:eastAsia="it-IT"/>
        </w:rPr>
        <w:t>Development of entrepreneurial skills in HC management</w:t>
      </w:r>
    </w:p>
    <w:p w:rsidR="00710C12" w:rsidRPr="00710C12" w:rsidRDefault="00710C12" w:rsidP="00710C12">
      <w:pPr>
        <w:pStyle w:val="Corpotesto"/>
        <w:numPr>
          <w:ilvl w:val="0"/>
          <w:numId w:val="7"/>
        </w:numPr>
        <w:rPr>
          <w:rFonts w:eastAsia="Times New Roman"/>
          <w:lang w:eastAsia="it-IT"/>
        </w:rPr>
      </w:pPr>
      <w:r w:rsidRPr="00710C12">
        <w:rPr>
          <w:rFonts w:eastAsia="Times New Roman"/>
          <w:lang w:eastAsia="it-IT"/>
        </w:rPr>
        <w:t>Medical and nursing education, biomedical innovations, healthcare technologies, and patient care</w:t>
      </w:r>
    </w:p>
    <w:p w:rsidR="00710C12" w:rsidRPr="00710C12" w:rsidRDefault="00710C12" w:rsidP="00710C12">
      <w:pPr>
        <w:pStyle w:val="Corpotesto"/>
        <w:numPr>
          <w:ilvl w:val="0"/>
          <w:numId w:val="7"/>
        </w:numPr>
        <w:rPr>
          <w:rFonts w:eastAsia="Times New Roman"/>
          <w:lang w:eastAsia="it-IT"/>
        </w:rPr>
      </w:pPr>
      <w:r w:rsidRPr="00710C12">
        <w:rPr>
          <w:rFonts w:eastAsia="Times New Roman"/>
          <w:lang w:eastAsia="it-IT"/>
        </w:rPr>
        <w:t>AI technologies in HC, telehealth technologies, and clinical research</w:t>
      </w:r>
    </w:p>
    <w:p w:rsidR="00710C12" w:rsidRPr="00710C12" w:rsidRDefault="00710C12" w:rsidP="00710C12">
      <w:pPr>
        <w:pStyle w:val="Corpotesto"/>
        <w:numPr>
          <w:ilvl w:val="0"/>
          <w:numId w:val="7"/>
        </w:numPr>
        <w:rPr>
          <w:rFonts w:eastAsia="Times New Roman"/>
          <w:lang w:eastAsia="it-IT"/>
        </w:rPr>
      </w:pPr>
      <w:r w:rsidRPr="00710C12">
        <w:rPr>
          <w:rFonts w:eastAsia="Times New Roman"/>
          <w:lang w:eastAsia="it-IT"/>
        </w:rPr>
        <w:t>Training for citizens and public facilities on organ donation</w:t>
      </w:r>
    </w:p>
    <w:p w:rsidR="00710C12" w:rsidRPr="00710C12" w:rsidRDefault="00710C12" w:rsidP="00710C12">
      <w:pPr>
        <w:pStyle w:val="Corpotesto"/>
        <w:rPr>
          <w:rFonts w:eastAsia="Times New Roman"/>
          <w:b/>
          <w:bCs/>
          <w:lang w:eastAsia="it-IT"/>
        </w:rPr>
      </w:pPr>
    </w:p>
    <w:p w:rsidR="00710C12" w:rsidRPr="00710C12" w:rsidRDefault="00710C12" w:rsidP="00710C12">
      <w:pPr>
        <w:pStyle w:val="Corpotesto"/>
        <w:rPr>
          <w:rFonts w:eastAsia="Times New Roman"/>
          <w:lang w:eastAsia="it-IT"/>
        </w:rPr>
      </w:pPr>
      <w:r w:rsidRPr="00710C12">
        <w:rPr>
          <w:rFonts w:eastAsia="Times New Roman"/>
          <w:b/>
          <w:bCs/>
          <w:lang w:eastAsia="it-IT"/>
        </w:rPr>
        <w:t>WP7: Socio-Cultural-Psychological Health</w:t>
      </w:r>
      <w:r w:rsidRPr="00710C12">
        <w:rPr>
          <w:rFonts w:eastAsia="Times New Roman"/>
          <w:lang w:eastAsia="it-IT"/>
        </w:rPr>
        <w:t>, which includes:</w:t>
      </w:r>
    </w:p>
    <w:p w:rsidR="00710C12" w:rsidRPr="00710C12" w:rsidRDefault="00710C12" w:rsidP="00710C12">
      <w:pPr>
        <w:pStyle w:val="Corpotesto"/>
        <w:numPr>
          <w:ilvl w:val="0"/>
          <w:numId w:val="8"/>
        </w:numPr>
        <w:rPr>
          <w:rFonts w:eastAsia="Times New Roman"/>
          <w:lang w:val="it-IT" w:eastAsia="it-IT"/>
        </w:rPr>
      </w:pPr>
      <w:proofErr w:type="spellStart"/>
      <w:r w:rsidRPr="00710C12">
        <w:rPr>
          <w:rFonts w:eastAsia="Times New Roman"/>
          <w:lang w:val="it-IT" w:eastAsia="it-IT"/>
        </w:rPr>
        <w:t>Sustainable</w:t>
      </w:r>
      <w:proofErr w:type="spellEnd"/>
      <w:r w:rsidRPr="00710C12">
        <w:rPr>
          <w:rFonts w:eastAsia="Times New Roman"/>
          <w:lang w:val="it-IT" w:eastAsia="it-IT"/>
        </w:rPr>
        <w:t xml:space="preserve"> </w:t>
      </w:r>
      <w:proofErr w:type="spellStart"/>
      <w:r w:rsidRPr="00710C12">
        <w:rPr>
          <w:rFonts w:eastAsia="Times New Roman"/>
          <w:lang w:val="it-IT" w:eastAsia="it-IT"/>
        </w:rPr>
        <w:t>Tourism</w:t>
      </w:r>
      <w:proofErr w:type="spellEnd"/>
    </w:p>
    <w:p w:rsidR="00710C12" w:rsidRPr="00710C12" w:rsidRDefault="00710C12" w:rsidP="00710C12">
      <w:pPr>
        <w:pStyle w:val="Corpotesto"/>
        <w:numPr>
          <w:ilvl w:val="0"/>
          <w:numId w:val="8"/>
        </w:numPr>
        <w:rPr>
          <w:rFonts w:eastAsia="Times New Roman"/>
          <w:lang w:val="it-IT" w:eastAsia="it-IT"/>
        </w:rPr>
      </w:pPr>
      <w:r w:rsidRPr="00710C12">
        <w:rPr>
          <w:rFonts w:eastAsia="Times New Roman"/>
          <w:lang w:val="it-IT" w:eastAsia="it-IT"/>
        </w:rPr>
        <w:t>Eco-</w:t>
      </w:r>
      <w:proofErr w:type="spellStart"/>
      <w:r w:rsidRPr="00710C12">
        <w:rPr>
          <w:rFonts w:eastAsia="Times New Roman"/>
          <w:lang w:val="it-IT" w:eastAsia="it-IT"/>
        </w:rPr>
        <w:t>Friendly</w:t>
      </w:r>
      <w:proofErr w:type="spellEnd"/>
      <w:r w:rsidRPr="00710C12">
        <w:rPr>
          <w:rFonts w:eastAsia="Times New Roman"/>
          <w:lang w:val="it-IT" w:eastAsia="it-IT"/>
        </w:rPr>
        <w:t xml:space="preserve"> Healthcare </w:t>
      </w:r>
      <w:proofErr w:type="spellStart"/>
      <w:r w:rsidRPr="00710C12">
        <w:rPr>
          <w:rFonts w:eastAsia="Times New Roman"/>
          <w:lang w:val="it-IT" w:eastAsia="it-IT"/>
        </w:rPr>
        <w:t>Placements</w:t>
      </w:r>
      <w:proofErr w:type="spellEnd"/>
    </w:p>
    <w:p w:rsidR="00710C12" w:rsidRPr="00710C12" w:rsidRDefault="00710C12" w:rsidP="00710C12">
      <w:pPr>
        <w:pStyle w:val="Corpotesto"/>
        <w:numPr>
          <w:ilvl w:val="0"/>
          <w:numId w:val="8"/>
        </w:numPr>
        <w:rPr>
          <w:rFonts w:eastAsia="Times New Roman"/>
          <w:lang w:val="it-IT" w:eastAsia="it-IT"/>
        </w:rPr>
      </w:pPr>
      <w:proofErr w:type="spellStart"/>
      <w:r w:rsidRPr="00710C12">
        <w:rPr>
          <w:rFonts w:eastAsia="Times New Roman"/>
          <w:lang w:val="it-IT" w:eastAsia="it-IT"/>
        </w:rPr>
        <w:lastRenderedPageBreak/>
        <w:t>Anthropology</w:t>
      </w:r>
      <w:proofErr w:type="spellEnd"/>
    </w:p>
    <w:p w:rsidR="00710C12" w:rsidRPr="00710C12" w:rsidRDefault="00710C12" w:rsidP="00710C12">
      <w:pPr>
        <w:pStyle w:val="Corpotesto"/>
        <w:numPr>
          <w:ilvl w:val="0"/>
          <w:numId w:val="8"/>
        </w:numPr>
        <w:rPr>
          <w:rFonts w:eastAsia="Times New Roman"/>
          <w:lang w:val="it-IT" w:eastAsia="it-IT"/>
        </w:rPr>
      </w:pPr>
      <w:proofErr w:type="spellStart"/>
      <w:r w:rsidRPr="00710C12">
        <w:rPr>
          <w:rFonts w:eastAsia="Times New Roman"/>
          <w:lang w:val="it-IT" w:eastAsia="it-IT"/>
        </w:rPr>
        <w:t>Religious</w:t>
      </w:r>
      <w:proofErr w:type="spellEnd"/>
      <w:r w:rsidRPr="00710C12">
        <w:rPr>
          <w:rFonts w:eastAsia="Times New Roman"/>
          <w:lang w:val="it-IT" w:eastAsia="it-IT"/>
        </w:rPr>
        <w:t xml:space="preserve"> </w:t>
      </w:r>
      <w:proofErr w:type="spellStart"/>
      <w:r w:rsidRPr="00710C12">
        <w:rPr>
          <w:rFonts w:eastAsia="Times New Roman"/>
          <w:lang w:val="it-IT" w:eastAsia="it-IT"/>
        </w:rPr>
        <w:t>Studies</w:t>
      </w:r>
      <w:proofErr w:type="spellEnd"/>
    </w:p>
    <w:p w:rsidR="00710C12" w:rsidRPr="00710C12" w:rsidRDefault="00710C12" w:rsidP="00710C12">
      <w:pPr>
        <w:pStyle w:val="Corpotesto"/>
        <w:numPr>
          <w:ilvl w:val="0"/>
          <w:numId w:val="8"/>
        </w:numPr>
        <w:rPr>
          <w:rFonts w:eastAsia="Times New Roman"/>
          <w:lang w:val="it-IT" w:eastAsia="it-IT"/>
        </w:rPr>
      </w:pPr>
      <w:proofErr w:type="spellStart"/>
      <w:r w:rsidRPr="00710C12">
        <w:rPr>
          <w:rFonts w:eastAsia="Times New Roman"/>
          <w:lang w:val="it-IT" w:eastAsia="it-IT"/>
        </w:rPr>
        <w:t>Philosophy</w:t>
      </w:r>
      <w:proofErr w:type="spellEnd"/>
    </w:p>
    <w:p w:rsidR="00710C12" w:rsidRPr="00710C12" w:rsidRDefault="00710C12" w:rsidP="00710C12">
      <w:pPr>
        <w:pStyle w:val="Corpotesto"/>
        <w:numPr>
          <w:ilvl w:val="0"/>
          <w:numId w:val="8"/>
        </w:numPr>
        <w:rPr>
          <w:rFonts w:eastAsia="Times New Roman"/>
          <w:lang w:val="it-IT" w:eastAsia="it-IT"/>
        </w:rPr>
      </w:pPr>
      <w:proofErr w:type="spellStart"/>
      <w:r w:rsidRPr="00710C12">
        <w:rPr>
          <w:rFonts w:eastAsia="Times New Roman"/>
          <w:lang w:val="it-IT" w:eastAsia="it-IT"/>
        </w:rPr>
        <w:t>Languages</w:t>
      </w:r>
      <w:proofErr w:type="spellEnd"/>
    </w:p>
    <w:p w:rsidR="00710C12" w:rsidRDefault="00710C12" w:rsidP="002F3B02">
      <w:pPr>
        <w:pStyle w:val="Corpotesto"/>
        <w:ind w:left="0" w:firstLine="0"/>
        <w:rPr>
          <w:rFonts w:eastAsia="Times New Roman"/>
          <w:lang w:eastAsia="it-IT"/>
        </w:rPr>
      </w:pPr>
    </w:p>
    <w:p w:rsidR="002F3B02" w:rsidRPr="002F3B02" w:rsidRDefault="002F3B02" w:rsidP="00255C47">
      <w:pPr>
        <w:pStyle w:val="Titolo1"/>
        <w:rPr>
          <w:rFonts w:ascii="Times New Roman" w:hAnsi="Times New Roman"/>
          <w:sz w:val="24"/>
          <w:szCs w:val="24"/>
          <w:lang w:eastAsia="it-IT"/>
        </w:rPr>
      </w:pPr>
      <w:r w:rsidRPr="002F3B02">
        <w:rPr>
          <w:lang w:eastAsia="it-IT"/>
        </w:rPr>
        <w:t xml:space="preserve">3 - Host Universities </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 xml:space="preserve">Applicants may choose up to four destinations from the partner universities listed in </w:t>
      </w:r>
      <w:r w:rsidRPr="002F3B02">
        <w:rPr>
          <w:rFonts w:ascii="Arial,Italic" w:eastAsia="Times New Roman" w:hAnsi="Arial,Italic" w:cs="Times New Roman"/>
          <w:lang w:eastAsia="it-IT"/>
        </w:rPr>
        <w:t>Appendix A (“Bilateral Agreements”</w:t>
      </w:r>
      <w:r w:rsidRPr="002F3B02">
        <w:rPr>
          <w:rFonts w:eastAsia="Times New Roman"/>
          <w:lang w:eastAsia="it-IT"/>
        </w:rPr>
        <w:t>).</w:t>
      </w:r>
      <w:r w:rsidRPr="002F3B02">
        <w:rPr>
          <w:rFonts w:eastAsia="Times New Roman"/>
          <w:lang w:eastAsia="it-IT"/>
        </w:rPr>
        <w:br/>
        <w:t xml:space="preserve">It is specified that the destination chosen from the table present in the </w:t>
      </w:r>
      <w:r w:rsidRPr="002F3B02">
        <w:rPr>
          <w:rFonts w:ascii="Arial,Italic" w:eastAsia="Times New Roman" w:hAnsi="Arial,Italic" w:cs="Times New Roman"/>
          <w:lang w:eastAsia="it-IT"/>
        </w:rPr>
        <w:t xml:space="preserve">Appendix A </w:t>
      </w:r>
      <w:r w:rsidRPr="002F3B02">
        <w:rPr>
          <w:rFonts w:eastAsia="Times New Roman"/>
          <w:lang w:eastAsia="it-IT"/>
        </w:rPr>
        <w:t xml:space="preserve">is subject to the existence of an agreement between </w:t>
      </w:r>
      <w:r w:rsidR="00255C47">
        <w:rPr>
          <w:rFonts w:eastAsia="Times New Roman"/>
          <w:lang w:eastAsia="it-IT"/>
        </w:rPr>
        <w:t>LUM University</w:t>
      </w:r>
      <w:r w:rsidRPr="002F3B02">
        <w:rPr>
          <w:rFonts w:eastAsia="Times New Roman"/>
          <w:lang w:eastAsia="it-IT"/>
        </w:rPr>
        <w:t xml:space="preserve"> (or Project Partner University) and the Foreign associate members (non-beneficiaries) of the Partnership. </w:t>
      </w:r>
    </w:p>
    <w:p w:rsidR="002F3B02" w:rsidRPr="00255C47" w:rsidRDefault="002F3B02" w:rsidP="002F3B02">
      <w:pPr>
        <w:pStyle w:val="Corpotesto"/>
        <w:ind w:left="0" w:firstLine="0"/>
        <w:rPr>
          <w:rFonts w:ascii="Times New Roman" w:eastAsia="Times New Roman" w:hAnsi="Times New Roman" w:cs="Times New Roman"/>
          <w:sz w:val="24"/>
          <w:szCs w:val="24"/>
          <w:lang w:eastAsia="it-IT"/>
        </w:rPr>
      </w:pPr>
    </w:p>
    <w:p w:rsidR="002F3B02" w:rsidRPr="002F3B02" w:rsidRDefault="002F3B02" w:rsidP="00255C47">
      <w:pPr>
        <w:pStyle w:val="Titolo1"/>
        <w:rPr>
          <w:rFonts w:ascii="Times New Roman" w:hAnsi="Times New Roman"/>
          <w:sz w:val="24"/>
          <w:szCs w:val="24"/>
          <w:lang w:eastAsia="it-IT"/>
        </w:rPr>
      </w:pPr>
      <w:r w:rsidRPr="002F3B02">
        <w:rPr>
          <w:lang w:eastAsia="it-IT"/>
        </w:rPr>
        <w:t xml:space="preserve">4 - Application Submission </w:t>
      </w:r>
    </w:p>
    <w:p w:rsidR="00563792" w:rsidRDefault="002F3B02" w:rsidP="00563792">
      <w:pPr>
        <w:pStyle w:val="Corpotesto"/>
        <w:ind w:left="0" w:firstLine="0"/>
        <w:rPr>
          <w:rFonts w:eastAsia="Times New Roman"/>
          <w:lang w:eastAsia="it-IT"/>
        </w:rPr>
      </w:pPr>
      <w:r w:rsidRPr="002F3B02">
        <w:rPr>
          <w:rFonts w:eastAsia="Times New Roman"/>
          <w:lang w:eastAsia="it-IT"/>
        </w:rPr>
        <w:t xml:space="preserve">Applications must be submitted using the specific Application Form available on the dedicated project page of </w:t>
      </w:r>
      <w:r w:rsidR="00255C47">
        <w:rPr>
          <w:rFonts w:eastAsia="Times New Roman"/>
          <w:lang w:eastAsia="it-IT"/>
        </w:rPr>
        <w:t>LUM University</w:t>
      </w:r>
      <w:r w:rsidRPr="002F3B02">
        <w:rPr>
          <w:rFonts w:eastAsia="Times New Roman"/>
          <w:lang w:eastAsia="it-IT"/>
        </w:rPr>
        <w:t xml:space="preserve">: </w:t>
      </w:r>
      <w:hyperlink r:id="rId7" w:history="1">
        <w:r w:rsidR="00563792" w:rsidRPr="007648AA">
          <w:rPr>
            <w:rStyle w:val="Collegamentoipertestuale"/>
            <w:rFonts w:eastAsia="Times New Roman"/>
            <w:lang w:eastAsia="it-IT"/>
          </w:rPr>
          <w:t>https://lum.it/TNE_HealthConnect</w:t>
        </w:r>
      </w:hyperlink>
      <w:r w:rsidR="00563792">
        <w:rPr>
          <w:rFonts w:eastAsia="Times New Roman"/>
          <w:color w:val="0000FF"/>
          <w:lang w:eastAsia="it-IT"/>
        </w:rPr>
        <w:t xml:space="preserve"> </w:t>
      </w:r>
    </w:p>
    <w:p w:rsidR="002F3B02" w:rsidRDefault="002F3B02" w:rsidP="002F3B02">
      <w:pPr>
        <w:pStyle w:val="Corpotesto"/>
        <w:ind w:left="0" w:firstLine="0"/>
        <w:rPr>
          <w:rFonts w:eastAsia="Times New Roman"/>
          <w:lang w:eastAsia="it-IT"/>
        </w:rPr>
      </w:pP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 xml:space="preserve">The following documentation must be attached to the application: </w:t>
      </w:r>
    </w:p>
    <w:p w:rsidR="00255C47" w:rsidRPr="00255C47" w:rsidRDefault="002F3B02" w:rsidP="002F3B02">
      <w:pPr>
        <w:pStyle w:val="Corpotesto"/>
        <w:numPr>
          <w:ilvl w:val="0"/>
          <w:numId w:val="5"/>
        </w:numPr>
        <w:rPr>
          <w:rFonts w:ascii="Times New Roman" w:eastAsia="Times New Roman" w:hAnsi="Times New Roman" w:cs="Times New Roman"/>
          <w:sz w:val="24"/>
          <w:szCs w:val="24"/>
          <w:lang w:eastAsia="it-IT"/>
        </w:rPr>
      </w:pPr>
      <w:r w:rsidRPr="002F3B02">
        <w:rPr>
          <w:rFonts w:eastAsia="Times New Roman"/>
          <w:lang w:eastAsia="it-IT"/>
        </w:rPr>
        <w:t>Self-certification or documentation proving enrollment at home university and completed exams</w:t>
      </w:r>
    </w:p>
    <w:p w:rsidR="002F3B02" w:rsidRDefault="002F3B02" w:rsidP="002F3B02">
      <w:pPr>
        <w:pStyle w:val="Corpotesto"/>
        <w:numPr>
          <w:ilvl w:val="0"/>
          <w:numId w:val="5"/>
        </w:numPr>
        <w:rPr>
          <w:rFonts w:ascii="Times New Roman" w:eastAsia="Times New Roman" w:hAnsi="Times New Roman" w:cs="Times New Roman"/>
          <w:sz w:val="24"/>
          <w:szCs w:val="24"/>
          <w:lang w:eastAsia="it-IT"/>
        </w:rPr>
      </w:pPr>
      <w:r w:rsidRPr="002F3B02">
        <w:rPr>
          <w:rFonts w:eastAsia="Times New Roman"/>
          <w:lang w:eastAsia="it-IT"/>
        </w:rPr>
        <w:t xml:space="preserve">Self-certification of a bachelor’s or master’s degree, including the final grade (for candidates enrolled in a master's degree or PhD program); </w:t>
      </w:r>
    </w:p>
    <w:p w:rsidR="002F3B02" w:rsidRDefault="002F3B02" w:rsidP="002F3B02">
      <w:pPr>
        <w:pStyle w:val="Corpotesto"/>
        <w:numPr>
          <w:ilvl w:val="0"/>
          <w:numId w:val="5"/>
        </w:numPr>
        <w:rPr>
          <w:rFonts w:ascii="Times New Roman" w:eastAsia="Times New Roman" w:hAnsi="Times New Roman" w:cs="Times New Roman"/>
          <w:sz w:val="24"/>
          <w:szCs w:val="24"/>
          <w:lang w:eastAsia="it-IT"/>
        </w:rPr>
      </w:pPr>
      <w:r w:rsidRPr="002F3B02">
        <w:rPr>
          <w:rFonts w:eastAsia="Times New Roman"/>
          <w:lang w:val="it-IT" w:eastAsia="it-IT"/>
        </w:rPr>
        <w:t xml:space="preserve">Curriculum vitae; </w:t>
      </w:r>
    </w:p>
    <w:p w:rsidR="002F3B02" w:rsidRDefault="002F3B02" w:rsidP="002F3B02">
      <w:pPr>
        <w:pStyle w:val="Corpotesto"/>
        <w:numPr>
          <w:ilvl w:val="0"/>
          <w:numId w:val="5"/>
        </w:numPr>
        <w:rPr>
          <w:rFonts w:ascii="Times New Roman" w:eastAsia="Times New Roman" w:hAnsi="Times New Roman" w:cs="Times New Roman"/>
          <w:sz w:val="24"/>
          <w:szCs w:val="24"/>
          <w:lang w:eastAsia="it-IT"/>
        </w:rPr>
      </w:pPr>
      <w:proofErr w:type="spellStart"/>
      <w:r w:rsidRPr="002F3B02">
        <w:rPr>
          <w:rFonts w:eastAsia="Times New Roman"/>
          <w:lang w:val="it-IT" w:eastAsia="it-IT"/>
        </w:rPr>
        <w:t>Motivation</w:t>
      </w:r>
      <w:proofErr w:type="spellEnd"/>
      <w:r w:rsidRPr="002F3B02">
        <w:rPr>
          <w:rFonts w:eastAsia="Times New Roman"/>
          <w:lang w:val="it-IT" w:eastAsia="it-IT"/>
        </w:rPr>
        <w:t xml:space="preserve"> </w:t>
      </w:r>
      <w:proofErr w:type="spellStart"/>
      <w:r w:rsidRPr="002F3B02">
        <w:rPr>
          <w:rFonts w:eastAsia="Times New Roman"/>
          <w:lang w:val="it-IT" w:eastAsia="it-IT"/>
        </w:rPr>
        <w:t>letter</w:t>
      </w:r>
      <w:proofErr w:type="spellEnd"/>
      <w:r w:rsidRPr="002F3B02">
        <w:rPr>
          <w:rFonts w:eastAsia="Times New Roman"/>
          <w:lang w:val="it-IT" w:eastAsia="it-IT"/>
        </w:rPr>
        <w:t xml:space="preserve">; </w:t>
      </w:r>
    </w:p>
    <w:p w:rsidR="00255C47" w:rsidRDefault="002F3B02" w:rsidP="00255C47">
      <w:pPr>
        <w:pStyle w:val="Corpotesto"/>
        <w:numPr>
          <w:ilvl w:val="0"/>
          <w:numId w:val="5"/>
        </w:numPr>
        <w:rPr>
          <w:rFonts w:ascii="Times New Roman" w:eastAsia="Times New Roman" w:hAnsi="Times New Roman" w:cs="Times New Roman"/>
          <w:sz w:val="24"/>
          <w:szCs w:val="24"/>
          <w:lang w:eastAsia="it-IT"/>
        </w:rPr>
      </w:pPr>
      <w:r w:rsidRPr="002F3B02">
        <w:rPr>
          <w:rFonts w:eastAsia="Times New Roman"/>
          <w:lang w:eastAsia="it-IT"/>
        </w:rPr>
        <w:t xml:space="preserve">A language proficiency certificate in either the host country’s language or English, </w:t>
      </w:r>
      <w:r w:rsidRPr="00255C47">
        <w:rPr>
          <w:rFonts w:eastAsia="Times New Roman"/>
          <w:lang w:eastAsia="it-IT"/>
        </w:rPr>
        <w:t xml:space="preserve">depending on the language of instruction for the courses to be taken (vehicular language/ English B1 (depending on the language of instruction)); </w:t>
      </w:r>
    </w:p>
    <w:p w:rsidR="002F3B02" w:rsidRPr="00255C47" w:rsidRDefault="002F3B02" w:rsidP="00255C47">
      <w:pPr>
        <w:pStyle w:val="Corpotesto"/>
        <w:numPr>
          <w:ilvl w:val="0"/>
          <w:numId w:val="5"/>
        </w:numPr>
        <w:rPr>
          <w:rFonts w:ascii="Times New Roman" w:eastAsia="Times New Roman" w:hAnsi="Times New Roman" w:cs="Times New Roman"/>
          <w:sz w:val="24"/>
          <w:szCs w:val="24"/>
          <w:lang w:eastAsia="it-IT"/>
        </w:rPr>
      </w:pPr>
      <w:r w:rsidRPr="00255C47">
        <w:rPr>
          <w:rFonts w:eastAsia="Times New Roman"/>
          <w:lang w:val="it-IT" w:eastAsia="it-IT"/>
        </w:rPr>
        <w:t xml:space="preserve">A </w:t>
      </w:r>
      <w:proofErr w:type="spellStart"/>
      <w:r w:rsidRPr="00255C47">
        <w:rPr>
          <w:rFonts w:eastAsia="Times New Roman"/>
          <w:lang w:val="it-IT" w:eastAsia="it-IT"/>
        </w:rPr>
        <w:t>valid</w:t>
      </w:r>
      <w:proofErr w:type="spellEnd"/>
      <w:r w:rsidRPr="00255C47">
        <w:rPr>
          <w:rFonts w:eastAsia="Times New Roman"/>
          <w:lang w:val="it-IT" w:eastAsia="it-IT"/>
        </w:rPr>
        <w:t xml:space="preserve"> ID </w:t>
      </w:r>
      <w:proofErr w:type="spellStart"/>
      <w:r w:rsidRPr="00255C47">
        <w:rPr>
          <w:rFonts w:eastAsia="Times New Roman"/>
          <w:lang w:val="it-IT" w:eastAsia="it-IT"/>
        </w:rPr>
        <w:t>document</w:t>
      </w:r>
      <w:proofErr w:type="spellEnd"/>
      <w:r w:rsidRPr="00255C47">
        <w:rPr>
          <w:rFonts w:eastAsia="Times New Roman"/>
          <w:lang w:val="it-IT" w:eastAsia="it-IT"/>
        </w:rPr>
        <w:t xml:space="preserve">. </w:t>
      </w:r>
    </w:p>
    <w:p w:rsidR="002F3B02" w:rsidRDefault="002F3B02" w:rsidP="002F3B02">
      <w:pPr>
        <w:pStyle w:val="Corpotesto"/>
        <w:ind w:left="0" w:firstLine="0"/>
        <w:rPr>
          <w:rFonts w:eastAsia="Times New Roman"/>
          <w:lang w:eastAsia="it-IT"/>
        </w:rPr>
      </w:pP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 xml:space="preserve">Applications, along with the required documentation, must be submitted to the student’s home university. After a pre-selection process outlined in Article 5, the home university will forward the selected applications to following mail: </w:t>
      </w:r>
      <w:hyperlink r:id="rId8" w:history="1">
        <w:r w:rsidR="00255C47" w:rsidRPr="007648AA">
          <w:rPr>
            <w:rStyle w:val="Collegamentoipertestuale"/>
            <w:rFonts w:eastAsia="Times New Roman"/>
            <w:lang w:eastAsia="it-IT"/>
          </w:rPr>
          <w:t>international@lum.it</w:t>
        </w:r>
      </w:hyperlink>
      <w:r w:rsidR="00255C47">
        <w:rPr>
          <w:rFonts w:eastAsia="Times New Roman"/>
          <w:color w:val="0000FF"/>
          <w:lang w:eastAsia="it-IT"/>
        </w:rPr>
        <w:t xml:space="preserve"> </w:t>
      </w:r>
      <w:r w:rsidRPr="002F3B02">
        <w:rPr>
          <w:rFonts w:eastAsia="Times New Roman"/>
          <w:lang w:eastAsia="it-IT"/>
        </w:rPr>
        <w:t xml:space="preserve">by the following deadlines: </w:t>
      </w:r>
    </w:p>
    <w:p w:rsidR="002F3B02" w:rsidRDefault="002F3B02" w:rsidP="002F3B02">
      <w:pPr>
        <w:pStyle w:val="Corpotesto"/>
        <w:ind w:left="0" w:firstLine="0"/>
        <w:rPr>
          <w:rFonts w:eastAsia="Times New Roman"/>
          <w:lang w:eastAsia="it-IT"/>
        </w:rPr>
      </w:pP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 xml:space="preserve">For study mobility: </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ascii="Arial,Bold" w:eastAsia="Times New Roman" w:hAnsi="Arial,Bold" w:cs="Times New Roman"/>
          <w:lang w:eastAsia="it-IT"/>
        </w:rPr>
        <w:t xml:space="preserve">- </w:t>
      </w:r>
      <w:r w:rsidR="00255C47">
        <w:rPr>
          <w:rFonts w:ascii="Arial,Bold" w:eastAsia="Times New Roman" w:hAnsi="Arial,Bold" w:cs="Times New Roman"/>
          <w:lang w:eastAsia="it-IT"/>
        </w:rPr>
        <w:t>August 30</w:t>
      </w:r>
      <w:r w:rsidRPr="002F3B02">
        <w:rPr>
          <w:rFonts w:ascii="Arial,Bold" w:eastAsia="Times New Roman" w:hAnsi="Arial,Bold" w:cs="Times New Roman"/>
          <w:lang w:eastAsia="it-IT"/>
        </w:rPr>
        <w:t xml:space="preserve">, 2025 </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ascii="Arial,Bold" w:eastAsia="Times New Roman" w:hAnsi="Arial,Bold" w:cs="Times New Roman"/>
          <w:shd w:val="clear" w:color="auto" w:fill="FFFFFF"/>
          <w:lang w:eastAsia="it-IT"/>
        </w:rPr>
        <w:t xml:space="preserve">- October 17, 2025 </w:t>
      </w:r>
    </w:p>
    <w:p w:rsidR="002F3B02" w:rsidRDefault="002F3B02" w:rsidP="002F3B02">
      <w:pPr>
        <w:pStyle w:val="Corpotesto"/>
        <w:ind w:left="0" w:firstLine="0"/>
        <w:rPr>
          <w:rFonts w:eastAsia="Times New Roman"/>
          <w:lang w:eastAsia="it-IT"/>
        </w:rPr>
      </w:pP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 xml:space="preserve">For internship, laboratory activities, and thesis research mobility: </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ascii="Arial,Bold" w:eastAsia="Times New Roman" w:hAnsi="Arial,Bold" w:cs="Times New Roman"/>
          <w:lang w:eastAsia="it-IT"/>
        </w:rPr>
        <w:t xml:space="preserve">- </w:t>
      </w:r>
      <w:r w:rsidR="00255C47">
        <w:rPr>
          <w:rFonts w:ascii="Arial,Bold" w:eastAsia="Times New Roman" w:hAnsi="Arial,Bold" w:cs="Times New Roman"/>
          <w:lang w:eastAsia="it-IT"/>
        </w:rPr>
        <w:t>August</w:t>
      </w:r>
      <w:r w:rsidRPr="002F3B02">
        <w:rPr>
          <w:rFonts w:ascii="Arial,Bold" w:eastAsia="Times New Roman" w:hAnsi="Arial,Bold" w:cs="Times New Roman"/>
          <w:lang w:eastAsia="it-IT"/>
        </w:rPr>
        <w:t xml:space="preserve">, 2025 </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ascii="Arial,Bold" w:eastAsia="Times New Roman" w:hAnsi="Arial,Bold" w:cs="Times New Roman"/>
          <w:lang w:eastAsia="it-IT"/>
        </w:rPr>
        <w:t xml:space="preserve">- October 17, 2025 </w:t>
      </w:r>
    </w:p>
    <w:p w:rsidR="002F3B02" w:rsidRDefault="002F3B02" w:rsidP="002F3B02">
      <w:pPr>
        <w:pStyle w:val="Corpotesto"/>
        <w:ind w:left="0" w:firstLine="0"/>
        <w:rPr>
          <w:rFonts w:eastAsia="Times New Roman"/>
          <w:lang w:eastAsia="it-IT"/>
        </w:rPr>
      </w:pP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 xml:space="preserve">Applications will be reviewed, and grants awarded until the financial resources are exhausted. </w:t>
      </w:r>
    </w:p>
    <w:p w:rsidR="002F3B02" w:rsidRDefault="002F3B02" w:rsidP="002F3B02">
      <w:pPr>
        <w:pStyle w:val="Corpotesto"/>
        <w:ind w:left="0" w:firstLine="0"/>
        <w:rPr>
          <w:rFonts w:ascii="Arial,Bold" w:eastAsia="Times New Roman" w:hAnsi="Arial,Bold" w:cs="Times New Roman"/>
          <w:lang w:eastAsia="it-IT"/>
        </w:rPr>
      </w:pPr>
    </w:p>
    <w:p w:rsidR="002F3B02" w:rsidRPr="002F3B02" w:rsidRDefault="002F3B02" w:rsidP="00255C47">
      <w:pPr>
        <w:pStyle w:val="Titolo1"/>
        <w:rPr>
          <w:rFonts w:ascii="Times New Roman" w:hAnsi="Times New Roman"/>
          <w:sz w:val="24"/>
          <w:szCs w:val="24"/>
          <w:lang w:eastAsia="it-IT"/>
        </w:rPr>
      </w:pPr>
      <w:r w:rsidRPr="002F3B02">
        <w:rPr>
          <w:lang w:eastAsia="it-IT"/>
        </w:rPr>
        <w:t xml:space="preserve">5 - Evaluation of Applications and Participant Selection </w:t>
      </w:r>
    </w:p>
    <w:p w:rsidR="002F3B02" w:rsidRDefault="00255C47" w:rsidP="002F3B02">
      <w:pPr>
        <w:pStyle w:val="Corpotesto"/>
        <w:ind w:left="0" w:firstLine="0"/>
        <w:rPr>
          <w:rFonts w:eastAsia="Times New Roman"/>
          <w:lang w:eastAsia="it-IT"/>
        </w:rPr>
      </w:pPr>
      <w:r>
        <w:rPr>
          <w:rFonts w:eastAsia="Times New Roman"/>
          <w:lang w:eastAsia="it-IT"/>
        </w:rPr>
        <w:t xml:space="preserve">LUM </w:t>
      </w:r>
      <w:r w:rsidR="002F3B02" w:rsidRPr="002F3B02">
        <w:rPr>
          <w:rFonts w:eastAsia="Times New Roman"/>
          <w:lang w:eastAsia="it-IT"/>
        </w:rPr>
        <w:t xml:space="preserve">University will evaluate the applications submitted by the students, through the appointment of </w:t>
      </w:r>
      <w:r w:rsidR="0038689D">
        <w:rPr>
          <w:rFonts w:eastAsia="Times New Roman"/>
          <w:lang w:eastAsia="it-IT"/>
        </w:rPr>
        <w:t>the Erasmus</w:t>
      </w:r>
      <w:r w:rsidR="002F3B02" w:rsidRPr="002F3B02">
        <w:rPr>
          <w:rFonts w:eastAsia="Times New Roman"/>
          <w:lang w:eastAsia="it-IT"/>
        </w:rPr>
        <w:t xml:space="preserve"> commission. The replacement of the resigning member will follow the procedures in force in the individual universities and will be </w:t>
      </w:r>
      <w:proofErr w:type="spellStart"/>
      <w:r w:rsidR="002F3B02" w:rsidRPr="002F3B02">
        <w:rPr>
          <w:rFonts w:eastAsia="Times New Roman"/>
          <w:lang w:eastAsia="it-IT"/>
        </w:rPr>
        <w:t>formalised</w:t>
      </w:r>
      <w:proofErr w:type="spellEnd"/>
      <w:r w:rsidR="002F3B02" w:rsidRPr="002F3B02">
        <w:rPr>
          <w:rFonts w:eastAsia="Times New Roman"/>
          <w:lang w:eastAsia="it-IT"/>
        </w:rPr>
        <w:t xml:space="preserve"> by a director's decree. </w:t>
      </w:r>
    </w:p>
    <w:p w:rsidR="00255C47" w:rsidRPr="002F3B02" w:rsidRDefault="00255C47" w:rsidP="002F3B02">
      <w:pPr>
        <w:pStyle w:val="Corpotesto"/>
        <w:ind w:left="0" w:firstLine="0"/>
        <w:rPr>
          <w:rFonts w:ascii="Times New Roman" w:eastAsia="Times New Roman" w:hAnsi="Times New Roman" w:cs="Times New Roman"/>
          <w:sz w:val="24"/>
          <w:szCs w:val="24"/>
          <w:lang w:eastAsia="it-IT"/>
        </w:rPr>
      </w:pPr>
    </w:p>
    <w:p w:rsidR="0038689D" w:rsidRDefault="002F3B02" w:rsidP="002F3B02">
      <w:pPr>
        <w:pStyle w:val="Corpotesto"/>
        <w:ind w:left="0" w:firstLine="0"/>
        <w:jc w:val="left"/>
        <w:rPr>
          <w:rFonts w:eastAsia="Times New Roman"/>
          <w:lang w:eastAsia="it-IT"/>
        </w:rPr>
      </w:pPr>
      <w:r w:rsidRPr="002F3B02">
        <w:rPr>
          <w:rFonts w:eastAsia="Times New Roman"/>
          <w:lang w:eastAsia="it-IT"/>
        </w:rPr>
        <w:t>The selection related to mobility for study will respect the following criteria:</w:t>
      </w:r>
      <w:r w:rsidRPr="002F3B02">
        <w:rPr>
          <w:rFonts w:eastAsia="Times New Roman"/>
          <w:lang w:eastAsia="it-IT"/>
        </w:rPr>
        <w:br/>
        <w:t xml:space="preserve">(a) Curriculum Vitae et </w:t>
      </w:r>
      <w:proofErr w:type="spellStart"/>
      <w:r w:rsidRPr="002F3B02">
        <w:rPr>
          <w:rFonts w:eastAsia="Times New Roman"/>
          <w:lang w:eastAsia="it-IT"/>
        </w:rPr>
        <w:t>Studiorum</w:t>
      </w:r>
      <w:proofErr w:type="spellEnd"/>
      <w:r w:rsidRPr="002F3B02">
        <w:rPr>
          <w:rFonts w:eastAsia="Times New Roman"/>
          <w:lang w:eastAsia="it-IT"/>
        </w:rPr>
        <w:t xml:space="preserve"> and Examination grade point average (40 points);</w:t>
      </w:r>
      <w:r w:rsidRPr="002F3B02">
        <w:rPr>
          <w:rFonts w:eastAsia="Times New Roman"/>
          <w:lang w:eastAsia="it-IT"/>
        </w:rPr>
        <w:br/>
        <w:t>(b) Relevance of the Learning Agreement with the project aims (35 points);</w:t>
      </w:r>
      <w:r w:rsidRPr="002F3B02">
        <w:rPr>
          <w:rFonts w:eastAsia="Times New Roman"/>
          <w:lang w:eastAsia="it-IT"/>
        </w:rPr>
        <w:br/>
        <w:t>(c) Knowledge of the language of the destination country and/or other vehicular language (10 points); (d) Previous study experience abroad and/or on the territory chosen for mobility (10 points);</w:t>
      </w:r>
      <w:r w:rsidRPr="002F3B02">
        <w:rPr>
          <w:rFonts w:eastAsia="Times New Roman"/>
          <w:lang w:eastAsia="it-IT"/>
        </w:rPr>
        <w:br/>
        <w:t>(f) Letters of recommendation (5 points)</w:t>
      </w:r>
      <w:r w:rsidRPr="002F3B02">
        <w:rPr>
          <w:rFonts w:eastAsia="Times New Roman"/>
          <w:lang w:eastAsia="it-IT"/>
        </w:rPr>
        <w:br/>
      </w:r>
    </w:p>
    <w:p w:rsidR="002F3B02" w:rsidRDefault="002F3B02" w:rsidP="002F3B02">
      <w:pPr>
        <w:pStyle w:val="Corpotesto"/>
        <w:ind w:left="0" w:firstLine="0"/>
        <w:jc w:val="left"/>
        <w:rPr>
          <w:rFonts w:eastAsia="Times New Roman"/>
          <w:lang w:eastAsia="it-IT"/>
        </w:rPr>
      </w:pPr>
      <w:r w:rsidRPr="002F3B02">
        <w:rPr>
          <w:rFonts w:eastAsia="Times New Roman"/>
          <w:lang w:eastAsia="it-IT"/>
        </w:rPr>
        <w:t>In both cases, no applications will be funded if their total score is less than 40 points.</w:t>
      </w:r>
      <w:r w:rsidRPr="002F3B02">
        <w:rPr>
          <w:rFonts w:eastAsia="Times New Roman"/>
          <w:lang w:eastAsia="it-IT"/>
        </w:rPr>
        <w:br/>
        <w:t>Candidates deemed eligible but not awarded a PNRR/TNE mobility grant will be placed on a reserve list. In the event of a withdrawal by a grant winner, these candidates may participate in the mobility program.</w:t>
      </w:r>
      <w:r w:rsidRPr="002F3B02">
        <w:rPr>
          <w:rFonts w:eastAsia="Times New Roman"/>
          <w:lang w:eastAsia="it-IT"/>
        </w:rPr>
        <w:br/>
      </w:r>
    </w:p>
    <w:p w:rsidR="00563792" w:rsidRDefault="002F3B02" w:rsidP="00563792">
      <w:pPr>
        <w:pStyle w:val="Corpotesto"/>
        <w:ind w:left="0" w:firstLine="0"/>
        <w:rPr>
          <w:rFonts w:eastAsia="Times New Roman"/>
          <w:lang w:eastAsia="it-IT"/>
        </w:rPr>
      </w:pPr>
      <w:r w:rsidRPr="002F3B02">
        <w:rPr>
          <w:rFonts w:eastAsia="Times New Roman"/>
          <w:lang w:eastAsia="it-IT"/>
        </w:rPr>
        <w:lastRenderedPageBreak/>
        <w:t xml:space="preserve">The list of selected candidates for each destination will be published on the dedicated project page of </w:t>
      </w:r>
      <w:r w:rsidR="0038689D">
        <w:rPr>
          <w:rFonts w:eastAsia="Times New Roman"/>
          <w:lang w:eastAsia="it-IT"/>
        </w:rPr>
        <w:t>LUM</w:t>
      </w:r>
      <w:r w:rsidRPr="002F3B02">
        <w:rPr>
          <w:rFonts w:eastAsia="Times New Roman"/>
          <w:lang w:eastAsia="it-IT"/>
        </w:rPr>
        <w:t xml:space="preserve"> University: </w:t>
      </w:r>
      <w:hyperlink r:id="rId9" w:history="1">
        <w:r w:rsidR="00563792" w:rsidRPr="007648AA">
          <w:rPr>
            <w:rStyle w:val="Collegamentoipertestuale"/>
            <w:rFonts w:eastAsia="Times New Roman"/>
            <w:lang w:eastAsia="it-IT"/>
          </w:rPr>
          <w:t>https://lum.it/TNE_HealthConnect</w:t>
        </w:r>
      </w:hyperlink>
      <w:r w:rsidR="00563792">
        <w:rPr>
          <w:rFonts w:eastAsia="Times New Roman"/>
          <w:color w:val="0000FF"/>
          <w:lang w:eastAsia="it-IT"/>
        </w:rPr>
        <w:t xml:space="preserve"> </w:t>
      </w:r>
    </w:p>
    <w:p w:rsidR="002F3B02" w:rsidRPr="002F3B02" w:rsidRDefault="002F3B02" w:rsidP="0038689D">
      <w:pPr>
        <w:pStyle w:val="Corpotesto"/>
        <w:ind w:left="0" w:firstLine="0"/>
        <w:rPr>
          <w:rFonts w:ascii="Times New Roman" w:eastAsia="Times New Roman" w:hAnsi="Times New Roman" w:cs="Times New Roman"/>
          <w:sz w:val="24"/>
          <w:szCs w:val="24"/>
          <w:lang w:eastAsia="it-IT"/>
        </w:rPr>
      </w:pPr>
      <w:bookmarkStart w:id="0" w:name="_GoBack"/>
      <w:bookmarkEnd w:id="0"/>
      <w:r w:rsidRPr="002F3B02">
        <w:rPr>
          <w:rFonts w:eastAsia="Times New Roman"/>
          <w:lang w:eastAsia="it-IT"/>
        </w:rPr>
        <w:t xml:space="preserve">Selected candidates and eligible candidates will also be notified by email. </w:t>
      </w:r>
    </w:p>
    <w:p w:rsidR="002F3B02" w:rsidRDefault="002F3B02" w:rsidP="002F3B02">
      <w:pPr>
        <w:pStyle w:val="Corpotesto"/>
        <w:ind w:left="0" w:firstLine="0"/>
        <w:rPr>
          <w:rFonts w:ascii="Arial,Bold" w:eastAsia="Times New Roman" w:hAnsi="Arial,Bold" w:cs="Times New Roman"/>
          <w:lang w:eastAsia="it-IT"/>
        </w:rPr>
      </w:pPr>
    </w:p>
    <w:p w:rsidR="002F3B02" w:rsidRPr="002F3B02" w:rsidRDefault="002F3B02" w:rsidP="00255C47">
      <w:pPr>
        <w:pStyle w:val="Titolo1"/>
        <w:rPr>
          <w:rFonts w:ascii="Times New Roman" w:hAnsi="Times New Roman"/>
          <w:sz w:val="24"/>
          <w:szCs w:val="24"/>
          <w:lang w:eastAsia="it-IT"/>
        </w:rPr>
      </w:pPr>
      <w:r w:rsidRPr="002F3B02">
        <w:rPr>
          <w:lang w:eastAsia="it-IT"/>
        </w:rPr>
        <w:t xml:space="preserve">6 - Acceptance Procedures at the Host University </w:t>
      </w:r>
    </w:p>
    <w:p w:rsidR="00255C47" w:rsidRDefault="002F3B02" w:rsidP="002F3B02">
      <w:pPr>
        <w:pStyle w:val="Corpotesto"/>
        <w:ind w:left="0" w:firstLine="0"/>
        <w:rPr>
          <w:rFonts w:eastAsia="Times New Roman"/>
          <w:lang w:eastAsia="it-IT"/>
        </w:rPr>
      </w:pPr>
      <w:r w:rsidRPr="002F3B02">
        <w:rPr>
          <w:rFonts w:eastAsia="Times New Roman"/>
          <w:lang w:eastAsia="it-IT"/>
        </w:rPr>
        <w:t>The names of the selected candidates will be forwarded to the host university, which will provide final confirmation of acceptance. Candidates will be informed by the host university of the procedures</w:t>
      </w:r>
      <w:r w:rsidR="00255C47">
        <w:rPr>
          <w:rFonts w:eastAsia="Times New Roman"/>
          <w:lang w:eastAsia="it-IT"/>
        </w:rPr>
        <w:t xml:space="preserve"> </w:t>
      </w:r>
      <w:r w:rsidRPr="002F3B02">
        <w:rPr>
          <w:rFonts w:eastAsia="Times New Roman"/>
          <w:lang w:eastAsia="it-IT"/>
        </w:rPr>
        <w:t>for</w:t>
      </w:r>
      <w:r w:rsidR="00255C47">
        <w:rPr>
          <w:rFonts w:eastAsia="Times New Roman"/>
          <w:lang w:eastAsia="it-IT"/>
        </w:rPr>
        <w:t xml:space="preserve"> </w:t>
      </w:r>
      <w:r w:rsidRPr="002F3B02">
        <w:rPr>
          <w:rFonts w:eastAsia="Times New Roman"/>
          <w:lang w:eastAsia="it-IT"/>
        </w:rPr>
        <w:t>enrollment.</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 xml:space="preserve">Selected candidates must submit the required documents to the host university following its instructions. </w:t>
      </w:r>
    </w:p>
    <w:p w:rsidR="00255C47" w:rsidRDefault="002F3B02" w:rsidP="002F3B02">
      <w:pPr>
        <w:pStyle w:val="Corpotesto"/>
        <w:ind w:left="0" w:firstLine="0"/>
        <w:rPr>
          <w:rFonts w:eastAsia="Times New Roman"/>
          <w:lang w:eastAsia="it-IT"/>
        </w:rPr>
      </w:pPr>
      <w:r w:rsidRPr="002F3B02">
        <w:rPr>
          <w:rFonts w:eastAsia="Times New Roman"/>
          <w:lang w:eastAsia="it-IT"/>
        </w:rPr>
        <w:t>If the selected candidates do not comply with these procedures, the home university will not be held responsible for any rejection by the host institution.</w:t>
      </w:r>
    </w:p>
    <w:p w:rsidR="002F3B02" w:rsidRDefault="002F3B02" w:rsidP="002F3B02">
      <w:pPr>
        <w:pStyle w:val="Corpotesto"/>
        <w:ind w:left="0" w:firstLine="0"/>
        <w:rPr>
          <w:rFonts w:eastAsia="Times New Roman"/>
          <w:lang w:eastAsia="it-IT"/>
        </w:rPr>
      </w:pPr>
      <w:r w:rsidRPr="002F3B02">
        <w:rPr>
          <w:rFonts w:eastAsia="Times New Roman"/>
          <w:lang w:eastAsia="it-IT"/>
        </w:rPr>
        <w:t xml:space="preserve">The host university reserves the right to reject candidates who do not meet the required criteria or fail to submit the necessary documentation. </w:t>
      </w:r>
    </w:p>
    <w:p w:rsidR="00255C47" w:rsidRPr="002F3B02" w:rsidRDefault="00255C47" w:rsidP="002F3B02">
      <w:pPr>
        <w:pStyle w:val="Corpotesto"/>
        <w:ind w:left="0" w:firstLine="0"/>
        <w:rPr>
          <w:rFonts w:ascii="Times New Roman" w:eastAsia="Times New Roman" w:hAnsi="Times New Roman" w:cs="Times New Roman"/>
          <w:sz w:val="24"/>
          <w:szCs w:val="24"/>
          <w:lang w:eastAsia="it-IT"/>
        </w:rPr>
      </w:pPr>
    </w:p>
    <w:p w:rsidR="00255C47" w:rsidRPr="002F3B02" w:rsidRDefault="00255C47" w:rsidP="00255C47">
      <w:pPr>
        <w:pStyle w:val="Titolo1"/>
        <w:rPr>
          <w:rFonts w:ascii="Times New Roman" w:hAnsi="Times New Roman"/>
          <w:sz w:val="24"/>
          <w:szCs w:val="24"/>
          <w:lang w:eastAsia="it-IT"/>
        </w:rPr>
      </w:pPr>
      <w:r w:rsidRPr="002F3B02">
        <w:rPr>
          <w:lang w:eastAsia="it-IT"/>
        </w:rPr>
        <w:t xml:space="preserve">7 - Obligations of Grant Recipients </w:t>
      </w:r>
    </w:p>
    <w:p w:rsidR="002F3B02" w:rsidRPr="00255C47" w:rsidRDefault="002F3B02" w:rsidP="002F3B02">
      <w:pPr>
        <w:pStyle w:val="Corpotesto"/>
        <w:ind w:left="0" w:firstLine="0"/>
        <w:rPr>
          <w:rFonts w:ascii="Times New Roman" w:eastAsia="Times New Roman" w:hAnsi="Times New Roman" w:cs="Times New Roman"/>
          <w:b/>
          <w:sz w:val="24"/>
          <w:szCs w:val="24"/>
          <w:lang w:eastAsia="it-IT"/>
        </w:rPr>
      </w:pPr>
      <w:r w:rsidRPr="00255C47">
        <w:rPr>
          <w:rFonts w:ascii="Arial,Bold" w:eastAsia="Times New Roman" w:hAnsi="Arial,Bold" w:cs="Times New Roman"/>
          <w:b/>
          <w:lang w:eastAsia="it-IT"/>
        </w:rPr>
        <w:t xml:space="preserve">7.1. Before Departure </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ascii="Arial,Italic" w:eastAsia="Times New Roman" w:hAnsi="Arial,Italic" w:cs="Times New Roman"/>
          <w:lang w:eastAsia="it-IT"/>
        </w:rPr>
        <w:t xml:space="preserve">- </w:t>
      </w:r>
      <w:r w:rsidRPr="0038689D">
        <w:rPr>
          <w:rFonts w:ascii="Arial,Italic" w:eastAsia="Times New Roman" w:hAnsi="Arial,Italic" w:cs="Times New Roman"/>
          <w:u w:val="single"/>
          <w:lang w:eastAsia="it-IT"/>
        </w:rPr>
        <w:t>Learning Agreement</w:t>
      </w:r>
      <w:r w:rsidRPr="002F3B02">
        <w:rPr>
          <w:rFonts w:eastAsia="Times New Roman"/>
          <w:lang w:eastAsia="it-IT"/>
        </w:rPr>
        <w:t>: PNRR/TNE mobility grant recipients must prepare a Learning Agreement outlining the educational activities to be completed abroad, which must be approved by the relevant parties;</w:t>
      </w:r>
      <w:r w:rsidRPr="002F3B02">
        <w:rPr>
          <w:rFonts w:eastAsia="Times New Roman"/>
          <w:lang w:eastAsia="it-IT"/>
        </w:rPr>
        <w:br/>
      </w:r>
      <w:r w:rsidRPr="002F3B02">
        <w:rPr>
          <w:rFonts w:ascii="Arial,Italic" w:eastAsia="Times New Roman" w:hAnsi="Arial,Italic" w:cs="Times New Roman"/>
          <w:lang w:eastAsia="it-IT"/>
        </w:rPr>
        <w:t xml:space="preserve">- </w:t>
      </w:r>
      <w:r w:rsidRPr="0038689D">
        <w:rPr>
          <w:rFonts w:ascii="Arial,Italic" w:eastAsia="Times New Roman" w:hAnsi="Arial,Italic" w:cs="Times New Roman"/>
          <w:u w:val="single"/>
          <w:lang w:eastAsia="it-IT"/>
        </w:rPr>
        <w:t>Mobility Agreement</w:t>
      </w:r>
      <w:r w:rsidRPr="002F3B02">
        <w:rPr>
          <w:rFonts w:eastAsia="Times New Roman"/>
          <w:lang w:eastAsia="it-IT"/>
        </w:rPr>
        <w:t xml:space="preserve">: Grant recipients must sign a mobility agreement with the Italian university responsible for disbursing the financial support (mobility grant). </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ascii="Arial,Italic" w:eastAsia="Times New Roman" w:hAnsi="Arial,Italic" w:cs="Times New Roman"/>
          <w:lang w:eastAsia="it-IT"/>
        </w:rPr>
        <w:t xml:space="preserve">- </w:t>
      </w:r>
      <w:r w:rsidRPr="0038689D">
        <w:rPr>
          <w:rFonts w:ascii="Arial,Italic" w:eastAsia="Times New Roman" w:hAnsi="Arial,Italic" w:cs="Times New Roman"/>
          <w:u w:val="single"/>
          <w:lang w:eastAsia="it-IT"/>
        </w:rPr>
        <w:t>Study Visa Application</w:t>
      </w:r>
      <w:r w:rsidRPr="002F3B02">
        <w:rPr>
          <w:rFonts w:eastAsia="Times New Roman"/>
          <w:lang w:eastAsia="it-IT"/>
        </w:rPr>
        <w:t xml:space="preserve">: The partner universities will inform incoming grant recipients about the visa application process. Italian universities will issue a declaration stating the amount of the PNRR/TNE grant. The host universities will issue an acceptance letter. </w:t>
      </w:r>
    </w:p>
    <w:p w:rsidR="002F3B02" w:rsidRDefault="002F3B02" w:rsidP="002F3B02">
      <w:pPr>
        <w:pStyle w:val="Corpotesto"/>
        <w:ind w:left="0" w:firstLine="0"/>
        <w:jc w:val="left"/>
        <w:rPr>
          <w:rFonts w:ascii="Arial,Bold" w:eastAsia="Times New Roman" w:hAnsi="Arial,Bold" w:cs="Times New Roman"/>
          <w:lang w:eastAsia="it-IT"/>
        </w:rPr>
      </w:pPr>
    </w:p>
    <w:p w:rsidR="0038689D" w:rsidRDefault="002F3B02" w:rsidP="0038689D">
      <w:pPr>
        <w:pStyle w:val="Corpotesto"/>
        <w:ind w:left="0" w:firstLine="0"/>
        <w:rPr>
          <w:rFonts w:ascii="Arial,Bold" w:eastAsia="Times New Roman" w:hAnsi="Arial,Bold" w:cs="Times New Roman"/>
          <w:b/>
          <w:lang w:eastAsia="it-IT"/>
        </w:rPr>
      </w:pPr>
      <w:r w:rsidRPr="00255C47">
        <w:rPr>
          <w:rFonts w:ascii="Arial,Bold" w:eastAsia="Times New Roman" w:hAnsi="Arial,Bold" w:cs="Times New Roman"/>
          <w:b/>
          <w:lang w:eastAsia="it-IT"/>
        </w:rPr>
        <w:t>7.2. During Mobility</w:t>
      </w:r>
    </w:p>
    <w:p w:rsidR="00255C47" w:rsidRDefault="002F3B02" w:rsidP="0038689D">
      <w:pPr>
        <w:pStyle w:val="Corpotesto"/>
        <w:ind w:left="0" w:firstLine="0"/>
        <w:rPr>
          <w:rFonts w:eastAsia="Times New Roman"/>
          <w:lang w:eastAsia="it-IT"/>
        </w:rPr>
      </w:pPr>
      <w:r w:rsidRPr="002F3B02">
        <w:rPr>
          <w:rFonts w:ascii="Arial,Bold" w:eastAsia="Times New Roman" w:hAnsi="Arial,Bold" w:cs="Times New Roman"/>
          <w:lang w:eastAsia="it-IT"/>
        </w:rPr>
        <w:t xml:space="preserve">- </w:t>
      </w:r>
      <w:r w:rsidRPr="0038689D">
        <w:rPr>
          <w:rFonts w:ascii="Arial,Italic" w:eastAsia="Times New Roman" w:hAnsi="Arial,Italic" w:cs="Times New Roman"/>
          <w:u w:val="single"/>
          <w:lang w:eastAsia="it-IT"/>
        </w:rPr>
        <w:t>Arrival Certificate</w:t>
      </w:r>
      <w:r w:rsidRPr="002F3B02">
        <w:rPr>
          <w:rFonts w:eastAsia="Times New Roman"/>
          <w:lang w:eastAsia="it-IT"/>
        </w:rPr>
        <w:t xml:space="preserve">: Upon arrival at the host university, recipients must report to the relevant office to record their arrival date on the Certificate of Stay, indicating the official start date of the mobility period. </w:t>
      </w:r>
    </w:p>
    <w:p w:rsidR="002F3B02" w:rsidRPr="002F3B02" w:rsidRDefault="002F3B02" w:rsidP="0038689D">
      <w:pPr>
        <w:pStyle w:val="Corpotesto"/>
        <w:ind w:left="0" w:firstLine="0"/>
        <w:rPr>
          <w:rFonts w:ascii="Times New Roman" w:eastAsia="Times New Roman" w:hAnsi="Times New Roman" w:cs="Times New Roman"/>
          <w:sz w:val="24"/>
          <w:szCs w:val="24"/>
          <w:lang w:eastAsia="it-IT"/>
        </w:rPr>
      </w:pPr>
      <w:r w:rsidRPr="002F3B02">
        <w:rPr>
          <w:rFonts w:ascii="Arial,Bold" w:eastAsia="Times New Roman" w:hAnsi="Arial,Bold" w:cs="Times New Roman"/>
          <w:lang w:eastAsia="it-IT"/>
        </w:rPr>
        <w:t xml:space="preserve">- </w:t>
      </w:r>
      <w:r w:rsidRPr="0038689D">
        <w:rPr>
          <w:rFonts w:ascii="Arial,Italic" w:eastAsia="Times New Roman" w:hAnsi="Arial,Italic" w:cs="Times New Roman"/>
          <w:u w:val="single"/>
          <w:lang w:eastAsia="it-IT"/>
        </w:rPr>
        <w:t>Amendments to the Learning Agreement</w:t>
      </w:r>
      <w:r w:rsidRPr="002F3B02">
        <w:rPr>
          <w:rFonts w:eastAsia="Times New Roman"/>
          <w:lang w:eastAsia="it-IT"/>
        </w:rPr>
        <w:t>: If changes to the Learning Agreement are necessary during the mobility, the recipient must complete the "During the Mobility" section, have it signed by</w:t>
      </w:r>
      <w:r w:rsidR="0038689D">
        <w:rPr>
          <w:rFonts w:eastAsia="Times New Roman"/>
          <w:lang w:eastAsia="it-IT"/>
        </w:rPr>
        <w:t xml:space="preserve"> </w:t>
      </w:r>
      <w:r w:rsidRPr="002F3B02">
        <w:rPr>
          <w:rFonts w:eastAsia="Times New Roman"/>
          <w:lang w:eastAsia="it-IT"/>
        </w:rPr>
        <w:t xml:space="preserve">the host university, and send the document (including the "Before the Mobility" section) to their home university’s relevant office. </w:t>
      </w:r>
    </w:p>
    <w:p w:rsidR="002F3B02" w:rsidRDefault="002F3B02" w:rsidP="002F3B02">
      <w:pPr>
        <w:pStyle w:val="Corpotesto"/>
        <w:ind w:left="0" w:firstLine="0"/>
        <w:rPr>
          <w:rFonts w:ascii="Arial,Bold" w:eastAsia="Times New Roman" w:hAnsi="Arial,Bold" w:cs="Times New Roman"/>
          <w:lang w:eastAsia="it-IT"/>
        </w:rPr>
      </w:pPr>
    </w:p>
    <w:p w:rsidR="002F3B02" w:rsidRPr="00255C47" w:rsidRDefault="002F3B02" w:rsidP="002F3B02">
      <w:pPr>
        <w:pStyle w:val="Corpotesto"/>
        <w:ind w:left="0" w:firstLine="0"/>
        <w:rPr>
          <w:rFonts w:ascii="Arial,Bold" w:eastAsia="Times New Roman" w:hAnsi="Arial,Bold" w:cs="Times New Roman"/>
          <w:b/>
          <w:lang w:eastAsia="it-IT"/>
        </w:rPr>
      </w:pPr>
      <w:r w:rsidRPr="00255C47">
        <w:rPr>
          <w:rFonts w:ascii="Arial,Bold" w:eastAsia="Times New Roman" w:hAnsi="Arial,Bold" w:cs="Times New Roman"/>
          <w:b/>
          <w:lang w:eastAsia="it-IT"/>
        </w:rPr>
        <w:t xml:space="preserve">7.3. Upon Return </w:t>
      </w:r>
    </w:p>
    <w:p w:rsidR="00255C47" w:rsidRPr="002F3B02" w:rsidRDefault="00255C47" w:rsidP="00255C47">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 xml:space="preserve">At the end of the mobility period at the host university, grant recipients must send the following documents to </w:t>
      </w:r>
      <w:r w:rsidR="0038689D">
        <w:rPr>
          <w:rFonts w:eastAsia="Times New Roman"/>
          <w:lang w:eastAsia="it-IT"/>
        </w:rPr>
        <w:t>international</w:t>
      </w:r>
      <w:r w:rsidRPr="002F3B02">
        <w:rPr>
          <w:rFonts w:eastAsia="Times New Roman"/>
          <w:lang w:eastAsia="it-IT"/>
        </w:rPr>
        <w:t>@</w:t>
      </w:r>
      <w:r w:rsidR="0038689D">
        <w:rPr>
          <w:rFonts w:eastAsia="Times New Roman"/>
          <w:lang w:eastAsia="it-IT"/>
        </w:rPr>
        <w:t>lum</w:t>
      </w:r>
      <w:r w:rsidRPr="002F3B02">
        <w:rPr>
          <w:rFonts w:eastAsia="Times New Roman"/>
          <w:lang w:eastAsia="it-IT"/>
        </w:rPr>
        <w:t xml:space="preserve">.it : </w:t>
      </w:r>
    </w:p>
    <w:p w:rsidR="00255C47" w:rsidRPr="002F3B02" w:rsidRDefault="00255C47" w:rsidP="00255C47">
      <w:pPr>
        <w:pStyle w:val="Corpotesto"/>
        <w:ind w:left="0" w:firstLine="0"/>
        <w:rPr>
          <w:rFonts w:ascii="Times New Roman" w:eastAsia="Times New Roman" w:hAnsi="Times New Roman" w:cs="Times New Roman"/>
          <w:sz w:val="24"/>
          <w:szCs w:val="24"/>
          <w:lang w:eastAsia="it-IT"/>
        </w:rPr>
      </w:pPr>
      <w:r w:rsidRPr="002F3B02">
        <w:rPr>
          <w:rFonts w:ascii="Arial,Bold" w:eastAsia="Times New Roman" w:hAnsi="Arial,Bold" w:cs="Times New Roman"/>
          <w:lang w:eastAsia="it-IT"/>
        </w:rPr>
        <w:t xml:space="preserve">- </w:t>
      </w:r>
      <w:r w:rsidRPr="002F3B02">
        <w:rPr>
          <w:rFonts w:eastAsia="Times New Roman"/>
          <w:lang w:eastAsia="it-IT"/>
        </w:rPr>
        <w:t xml:space="preserve">Certificate of Stay: Attesting to the start and end dates of the mobility; </w:t>
      </w:r>
    </w:p>
    <w:p w:rsidR="00255C47" w:rsidRPr="002F3B02" w:rsidRDefault="00255C47" w:rsidP="00255C47">
      <w:pPr>
        <w:pStyle w:val="Corpotesto"/>
        <w:ind w:left="0" w:firstLine="0"/>
        <w:rPr>
          <w:rFonts w:ascii="Times New Roman" w:eastAsia="Times New Roman" w:hAnsi="Times New Roman" w:cs="Times New Roman"/>
          <w:sz w:val="24"/>
          <w:szCs w:val="24"/>
          <w:lang w:eastAsia="it-IT"/>
        </w:rPr>
      </w:pPr>
      <w:r w:rsidRPr="002F3B02">
        <w:rPr>
          <w:rFonts w:ascii="Arial,Bold" w:eastAsia="Times New Roman" w:hAnsi="Arial,Bold" w:cs="Times New Roman"/>
          <w:lang w:eastAsia="it-IT"/>
        </w:rPr>
        <w:t xml:space="preserve">- </w:t>
      </w:r>
      <w:r w:rsidRPr="002F3B02">
        <w:rPr>
          <w:rFonts w:eastAsia="Times New Roman"/>
          <w:lang w:eastAsia="it-IT"/>
        </w:rPr>
        <w:t xml:space="preserve">Copy of travel documents or boarding passes; </w:t>
      </w:r>
    </w:p>
    <w:p w:rsidR="00255C47" w:rsidRPr="002F3B02" w:rsidRDefault="00255C47" w:rsidP="00255C47">
      <w:pPr>
        <w:pStyle w:val="Corpotesto"/>
        <w:ind w:left="0" w:firstLine="0"/>
        <w:rPr>
          <w:rFonts w:ascii="Times New Roman" w:eastAsia="Times New Roman" w:hAnsi="Times New Roman" w:cs="Times New Roman"/>
          <w:sz w:val="24"/>
          <w:szCs w:val="24"/>
          <w:lang w:eastAsia="it-IT"/>
        </w:rPr>
      </w:pPr>
      <w:r w:rsidRPr="002F3B02">
        <w:rPr>
          <w:rFonts w:ascii="Arial,Bold" w:eastAsia="Times New Roman" w:hAnsi="Arial,Bold" w:cs="Times New Roman"/>
          <w:lang w:eastAsia="it-IT"/>
        </w:rPr>
        <w:t xml:space="preserve">- </w:t>
      </w:r>
      <w:r w:rsidRPr="002F3B02">
        <w:rPr>
          <w:rFonts w:eastAsia="Times New Roman"/>
          <w:lang w:eastAsia="it-IT"/>
        </w:rPr>
        <w:t xml:space="preserve">Final version of the Learning Agreement. </w:t>
      </w:r>
    </w:p>
    <w:p w:rsidR="00255C47" w:rsidRPr="002F3B02" w:rsidRDefault="00255C47" w:rsidP="00255C47">
      <w:pPr>
        <w:pStyle w:val="Corpotesto"/>
        <w:ind w:left="0" w:firstLine="0"/>
        <w:rPr>
          <w:rFonts w:ascii="Times New Roman" w:eastAsia="Times New Roman" w:hAnsi="Times New Roman" w:cs="Times New Roman"/>
          <w:sz w:val="24"/>
          <w:szCs w:val="24"/>
          <w:lang w:eastAsia="it-IT"/>
        </w:rPr>
      </w:pPr>
      <w:r w:rsidRPr="002F3B02">
        <w:rPr>
          <w:rFonts w:ascii="Arial,Bold" w:eastAsia="Times New Roman" w:hAnsi="Arial,Bold" w:cs="Times New Roman"/>
          <w:lang w:eastAsia="it-IT"/>
        </w:rPr>
        <w:t xml:space="preserve">- </w:t>
      </w:r>
      <w:r w:rsidRPr="002F3B02">
        <w:rPr>
          <w:rFonts w:eastAsia="Times New Roman"/>
          <w:lang w:eastAsia="it-IT"/>
        </w:rPr>
        <w:t xml:space="preserve">Report of the research activity </w:t>
      </w:r>
    </w:p>
    <w:p w:rsidR="00255C47" w:rsidRPr="002F3B02" w:rsidRDefault="00255C47" w:rsidP="00255C47">
      <w:pPr>
        <w:pStyle w:val="Corpotesto"/>
        <w:ind w:left="0" w:firstLine="0"/>
        <w:rPr>
          <w:rFonts w:ascii="Times New Roman" w:eastAsia="Times New Roman" w:hAnsi="Times New Roman" w:cs="Times New Roman"/>
          <w:sz w:val="24"/>
          <w:szCs w:val="24"/>
          <w:lang w:eastAsia="it-IT"/>
        </w:rPr>
      </w:pPr>
      <w:r w:rsidRPr="002F3B02">
        <w:rPr>
          <w:rFonts w:ascii="Arial,Bold" w:eastAsia="Times New Roman" w:hAnsi="Arial,Bold" w:cs="Times New Roman"/>
          <w:lang w:eastAsia="it-IT"/>
        </w:rPr>
        <w:t xml:space="preserve">- </w:t>
      </w:r>
      <w:r w:rsidRPr="002F3B02">
        <w:rPr>
          <w:rFonts w:eastAsia="Times New Roman"/>
          <w:lang w:eastAsia="it-IT"/>
        </w:rPr>
        <w:t xml:space="preserve">Transcript of records </w:t>
      </w:r>
    </w:p>
    <w:p w:rsidR="00255C47" w:rsidRPr="002F3B02" w:rsidRDefault="00255C47" w:rsidP="002F3B02">
      <w:pPr>
        <w:pStyle w:val="Corpotesto"/>
        <w:ind w:left="0" w:firstLine="0"/>
        <w:rPr>
          <w:rFonts w:ascii="Times New Roman" w:eastAsia="Times New Roman" w:hAnsi="Times New Roman" w:cs="Times New Roman"/>
          <w:sz w:val="24"/>
          <w:szCs w:val="24"/>
          <w:lang w:eastAsia="it-IT"/>
        </w:rPr>
      </w:pPr>
    </w:p>
    <w:p w:rsidR="002F3B02" w:rsidRPr="00255C47" w:rsidRDefault="002F3B02" w:rsidP="002F3B02">
      <w:pPr>
        <w:pStyle w:val="Corpotesto"/>
        <w:ind w:left="0" w:firstLine="0"/>
        <w:rPr>
          <w:rFonts w:ascii="Times New Roman" w:eastAsia="Times New Roman" w:hAnsi="Times New Roman" w:cs="Times New Roman"/>
          <w:b/>
          <w:sz w:val="24"/>
          <w:szCs w:val="24"/>
          <w:lang w:eastAsia="it-IT"/>
        </w:rPr>
      </w:pPr>
      <w:r w:rsidRPr="00255C47">
        <w:rPr>
          <w:rFonts w:ascii="Arial,Bold" w:eastAsia="Times New Roman" w:hAnsi="Arial,Bold" w:cs="Times New Roman"/>
          <w:b/>
          <w:lang w:eastAsia="it-IT"/>
        </w:rPr>
        <w:t xml:space="preserve">7.4. Transcript of Records (TOR) </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 xml:space="preserve">At the end of the mobility period, the host universities will issue a </w:t>
      </w:r>
      <w:r w:rsidRPr="002F3B02">
        <w:rPr>
          <w:rFonts w:ascii="Arial,Italic" w:eastAsia="Times New Roman" w:hAnsi="Arial,Italic" w:cs="Times New Roman"/>
          <w:lang w:eastAsia="it-IT"/>
        </w:rPr>
        <w:t xml:space="preserve">Transcript of Records (TOR) </w:t>
      </w:r>
      <w:r w:rsidRPr="002F3B02">
        <w:rPr>
          <w:rFonts w:eastAsia="Times New Roman"/>
          <w:lang w:eastAsia="it-IT"/>
        </w:rPr>
        <w:t xml:space="preserve">listing the courses attended, the exams taken, the grades received, and the number of credits earned. This certification will be sent to the student and his/her home university. </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 xml:space="preserve">For students conducting thesis research or internships during their mobility, a report from the supervisor at the host university certifying the work completed will serve as the attendance certificate. </w:t>
      </w:r>
    </w:p>
    <w:p w:rsidR="00255C47" w:rsidRDefault="00255C47" w:rsidP="002F3B02">
      <w:pPr>
        <w:pStyle w:val="Corpotesto"/>
        <w:ind w:left="0" w:firstLine="0"/>
        <w:rPr>
          <w:rFonts w:ascii="Arial,Bold" w:eastAsia="Times New Roman" w:hAnsi="Arial,Bold" w:cs="Times New Roman"/>
          <w:lang w:eastAsia="it-IT"/>
        </w:rPr>
      </w:pPr>
    </w:p>
    <w:p w:rsidR="002F3B02" w:rsidRPr="002F3B02" w:rsidRDefault="002F3B02" w:rsidP="00255C47">
      <w:pPr>
        <w:pStyle w:val="Titolo1"/>
        <w:rPr>
          <w:rFonts w:ascii="Times New Roman" w:hAnsi="Times New Roman"/>
          <w:sz w:val="24"/>
          <w:szCs w:val="24"/>
          <w:lang w:eastAsia="it-IT"/>
        </w:rPr>
      </w:pPr>
      <w:r w:rsidRPr="002F3B02">
        <w:rPr>
          <w:lang w:eastAsia="it-IT"/>
        </w:rPr>
        <w:t xml:space="preserve">8 - Financial Contributions and Payment Procedures </w:t>
      </w:r>
    </w:p>
    <w:p w:rsidR="002F3B02" w:rsidRPr="00255C47" w:rsidRDefault="002F3B02" w:rsidP="002F3B02">
      <w:pPr>
        <w:pStyle w:val="Corpotesto"/>
        <w:ind w:left="0" w:firstLine="0"/>
        <w:rPr>
          <w:rFonts w:ascii="Times New Roman" w:eastAsia="Times New Roman" w:hAnsi="Times New Roman" w:cs="Times New Roman"/>
          <w:b/>
          <w:sz w:val="24"/>
          <w:szCs w:val="24"/>
          <w:lang w:eastAsia="it-IT"/>
        </w:rPr>
      </w:pPr>
      <w:r w:rsidRPr="00255C47">
        <w:rPr>
          <w:rFonts w:ascii="Arial,Bold" w:eastAsia="Times New Roman" w:hAnsi="Arial,Bold" w:cs="Times New Roman"/>
          <w:b/>
          <w:lang w:eastAsia="it-IT"/>
        </w:rPr>
        <w:t xml:space="preserve">8.1. Financial Support </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The PNRR/TNE Health Connect international mobility project provides financial support for the following, as outlined in the attached table (</w:t>
      </w:r>
      <w:r w:rsidRPr="002F3B02">
        <w:rPr>
          <w:rFonts w:ascii="Arial,Italic" w:eastAsia="Times New Roman" w:hAnsi="Arial,Italic" w:cs="Times New Roman"/>
          <w:lang w:eastAsia="it-IT"/>
        </w:rPr>
        <w:t>Appendix B</w:t>
      </w:r>
      <w:r w:rsidRPr="002F3B02">
        <w:rPr>
          <w:rFonts w:eastAsia="Times New Roman"/>
          <w:lang w:eastAsia="it-IT"/>
        </w:rPr>
        <w:t xml:space="preserve">): </w:t>
      </w:r>
    </w:p>
    <w:p w:rsidR="002F3B02" w:rsidRPr="002F3B02" w:rsidRDefault="002F3B02" w:rsidP="0038689D">
      <w:pPr>
        <w:pStyle w:val="Corpotesto"/>
        <w:numPr>
          <w:ilvl w:val="0"/>
          <w:numId w:val="6"/>
        </w:numPr>
        <w:rPr>
          <w:rFonts w:eastAsia="Times New Roman"/>
          <w:lang w:val="it-IT" w:eastAsia="it-IT"/>
        </w:rPr>
      </w:pPr>
      <w:proofErr w:type="spellStart"/>
      <w:r w:rsidRPr="002F3B02">
        <w:rPr>
          <w:rFonts w:eastAsia="Times New Roman"/>
          <w:lang w:val="it-IT" w:eastAsia="it-IT"/>
        </w:rPr>
        <w:t>Individual</w:t>
      </w:r>
      <w:proofErr w:type="spellEnd"/>
      <w:r w:rsidRPr="002F3B02">
        <w:rPr>
          <w:rFonts w:eastAsia="Times New Roman"/>
          <w:lang w:val="it-IT" w:eastAsia="it-IT"/>
        </w:rPr>
        <w:t xml:space="preserve"> </w:t>
      </w:r>
      <w:proofErr w:type="spellStart"/>
      <w:r w:rsidRPr="002F3B02">
        <w:rPr>
          <w:rFonts w:eastAsia="Times New Roman"/>
          <w:lang w:val="it-IT" w:eastAsia="it-IT"/>
        </w:rPr>
        <w:t>support</w:t>
      </w:r>
      <w:proofErr w:type="spellEnd"/>
      <w:r w:rsidRPr="002F3B02">
        <w:rPr>
          <w:rFonts w:eastAsia="Times New Roman"/>
          <w:lang w:val="it-IT" w:eastAsia="it-IT"/>
        </w:rPr>
        <w:t xml:space="preserve">; </w:t>
      </w:r>
    </w:p>
    <w:p w:rsidR="002F3B02" w:rsidRPr="002F3B02" w:rsidRDefault="002F3B02" w:rsidP="0038689D">
      <w:pPr>
        <w:pStyle w:val="Corpotesto"/>
        <w:numPr>
          <w:ilvl w:val="0"/>
          <w:numId w:val="6"/>
        </w:numPr>
        <w:rPr>
          <w:rFonts w:eastAsia="Times New Roman"/>
          <w:lang w:val="it-IT" w:eastAsia="it-IT"/>
        </w:rPr>
      </w:pPr>
      <w:r w:rsidRPr="002F3B02">
        <w:rPr>
          <w:rFonts w:eastAsia="Times New Roman"/>
          <w:lang w:val="it-IT" w:eastAsia="it-IT"/>
        </w:rPr>
        <w:t xml:space="preserve">Travel </w:t>
      </w:r>
      <w:proofErr w:type="spellStart"/>
      <w:r w:rsidRPr="002F3B02">
        <w:rPr>
          <w:rFonts w:eastAsia="Times New Roman"/>
          <w:lang w:val="it-IT" w:eastAsia="it-IT"/>
        </w:rPr>
        <w:t>support</w:t>
      </w:r>
      <w:proofErr w:type="spellEnd"/>
      <w:r w:rsidRPr="002F3B02">
        <w:rPr>
          <w:rFonts w:eastAsia="Times New Roman"/>
          <w:lang w:val="it-IT" w:eastAsia="it-IT"/>
        </w:rPr>
        <w:t xml:space="preserve">; </w:t>
      </w:r>
    </w:p>
    <w:p w:rsidR="00255C47" w:rsidRDefault="00255C47" w:rsidP="002F3B02">
      <w:pPr>
        <w:pStyle w:val="Corpotesto"/>
        <w:ind w:left="0" w:firstLine="0"/>
        <w:rPr>
          <w:rFonts w:ascii="Arial,Bold" w:eastAsia="Times New Roman" w:hAnsi="Arial,Bold" w:cs="Times New Roman"/>
          <w:lang w:val="it-IT" w:eastAsia="it-IT"/>
        </w:rPr>
      </w:pPr>
    </w:p>
    <w:p w:rsidR="002F3B02" w:rsidRPr="0038689D" w:rsidRDefault="002F3B02" w:rsidP="002F3B02">
      <w:pPr>
        <w:pStyle w:val="Corpotesto"/>
        <w:ind w:left="0" w:firstLine="0"/>
        <w:rPr>
          <w:rFonts w:ascii="Times New Roman" w:eastAsia="Times New Roman" w:hAnsi="Times New Roman" w:cs="Times New Roman"/>
          <w:b/>
          <w:sz w:val="24"/>
          <w:szCs w:val="24"/>
          <w:lang w:eastAsia="it-IT"/>
        </w:rPr>
      </w:pPr>
      <w:r w:rsidRPr="0038689D">
        <w:rPr>
          <w:rFonts w:ascii="Arial,Bold" w:eastAsia="Times New Roman" w:hAnsi="Arial,Bold" w:cs="Times New Roman"/>
          <w:b/>
          <w:lang w:eastAsia="it-IT"/>
        </w:rPr>
        <w:t xml:space="preserve">8.2. Payment Methods </w:t>
      </w:r>
    </w:p>
    <w:p w:rsidR="0038689D" w:rsidRDefault="002F3B02" w:rsidP="002F3B02">
      <w:pPr>
        <w:pStyle w:val="Corpotesto"/>
        <w:ind w:left="0" w:firstLine="0"/>
        <w:rPr>
          <w:rFonts w:eastAsia="Times New Roman"/>
          <w:lang w:eastAsia="it-IT"/>
        </w:rPr>
      </w:pPr>
      <w:r w:rsidRPr="002F3B02">
        <w:rPr>
          <w:rFonts w:eastAsia="Times New Roman"/>
          <w:lang w:eastAsia="it-IT"/>
        </w:rPr>
        <w:t xml:space="preserve">1. An advance payment will be made to the participant within </w:t>
      </w:r>
      <w:r w:rsidR="0038689D">
        <w:rPr>
          <w:rFonts w:eastAsia="Times New Roman"/>
          <w:lang w:eastAsia="it-IT"/>
        </w:rPr>
        <w:t>2</w:t>
      </w:r>
      <w:r w:rsidRPr="002F3B02">
        <w:rPr>
          <w:rFonts w:eastAsia="Times New Roman"/>
          <w:lang w:eastAsia="it-IT"/>
        </w:rPr>
        <w:t xml:space="preserve">0 calendar days after the financial agreement is signed by both parties. This pre-financing will represent 70% of the total grant amount. </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 xml:space="preserve">2. The remaining balance will be paid after the end of the mobility, upon submission of the final documentation listed </w:t>
      </w:r>
      <w:r w:rsidRPr="002F3B02">
        <w:rPr>
          <w:rFonts w:eastAsia="Times New Roman"/>
          <w:lang w:eastAsia="it-IT"/>
        </w:rPr>
        <w:lastRenderedPageBreak/>
        <w:t xml:space="preserve">in Article 7.3. </w:t>
      </w:r>
    </w:p>
    <w:p w:rsidR="0038689D" w:rsidRDefault="002F3B02" w:rsidP="002F3B02">
      <w:pPr>
        <w:pStyle w:val="Corpotesto"/>
        <w:ind w:left="0" w:firstLine="0"/>
        <w:rPr>
          <w:rFonts w:eastAsia="Times New Roman"/>
          <w:lang w:eastAsia="it-IT"/>
        </w:rPr>
      </w:pPr>
      <w:r w:rsidRPr="002F3B02">
        <w:rPr>
          <w:rFonts w:eastAsia="Times New Roman"/>
          <w:lang w:eastAsia="it-IT"/>
        </w:rPr>
        <w:t xml:space="preserve">3. Any merit-based grant will be paid after the receipt of the </w:t>
      </w:r>
      <w:r w:rsidRPr="002F3B02">
        <w:rPr>
          <w:rFonts w:ascii="Arial,Italic" w:eastAsia="Times New Roman" w:hAnsi="Arial,Italic" w:cs="Times New Roman"/>
          <w:lang w:eastAsia="it-IT"/>
        </w:rPr>
        <w:t xml:space="preserve">Transcript of Records-TOR </w:t>
      </w:r>
      <w:r w:rsidRPr="002F3B02">
        <w:rPr>
          <w:rFonts w:eastAsia="Times New Roman"/>
          <w:lang w:eastAsia="it-IT"/>
        </w:rPr>
        <w:t>(see Article 7.4). The merit-based support for PhD students will be provided upon submission of the essay for publication.</w:t>
      </w:r>
      <w:r w:rsidRPr="002F3B02">
        <w:rPr>
          <w:rFonts w:eastAsia="Times New Roman"/>
          <w:lang w:eastAsia="it-IT"/>
        </w:rPr>
        <w:br/>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 xml:space="preserve">If the actual duration of the mobility period exceeds the maximum limits set in Article 2, the extra period will not be considered part of the funded mobility and will be recorded as </w:t>
      </w:r>
      <w:r w:rsidRPr="002F3B02">
        <w:rPr>
          <w:rFonts w:ascii="Arial,Italic" w:eastAsia="Times New Roman" w:hAnsi="Arial,Italic" w:cs="Times New Roman"/>
          <w:lang w:eastAsia="it-IT"/>
        </w:rPr>
        <w:t xml:space="preserve">zero grant </w:t>
      </w:r>
      <w:r w:rsidRPr="002F3B02">
        <w:rPr>
          <w:rFonts w:eastAsia="Times New Roman"/>
          <w:lang w:eastAsia="it-IT"/>
        </w:rPr>
        <w:t xml:space="preserve">(without financial support). </w:t>
      </w:r>
    </w:p>
    <w:p w:rsidR="00255C47" w:rsidRDefault="00255C47" w:rsidP="002F3B02">
      <w:pPr>
        <w:pStyle w:val="Corpotesto"/>
        <w:ind w:left="0" w:firstLine="0"/>
        <w:rPr>
          <w:rFonts w:ascii="Arial,Bold" w:eastAsia="Times New Roman" w:hAnsi="Arial,Bold" w:cs="Times New Roman"/>
          <w:lang w:eastAsia="it-IT"/>
        </w:rPr>
      </w:pPr>
    </w:p>
    <w:p w:rsidR="002F3B02" w:rsidRPr="00255C47" w:rsidRDefault="002F3B02" w:rsidP="002F3B02">
      <w:pPr>
        <w:pStyle w:val="Corpotesto"/>
        <w:ind w:left="0" w:firstLine="0"/>
        <w:rPr>
          <w:rFonts w:ascii="Times New Roman" w:eastAsia="Times New Roman" w:hAnsi="Times New Roman" w:cs="Times New Roman"/>
          <w:b/>
          <w:sz w:val="24"/>
          <w:szCs w:val="24"/>
          <w:lang w:eastAsia="it-IT"/>
        </w:rPr>
      </w:pPr>
      <w:r w:rsidRPr="00255C47">
        <w:rPr>
          <w:rFonts w:ascii="Arial,Bold" w:eastAsia="Times New Roman" w:hAnsi="Arial,Bold" w:cs="Times New Roman"/>
          <w:b/>
          <w:lang w:eastAsia="it-IT"/>
        </w:rPr>
        <w:t xml:space="preserve">8.3. Repayment of Grants </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If the mobility period is shorter than the minimum limits set in Article 2, the participant will be required to repay the entire grant that was advanced.</w:t>
      </w:r>
      <w:r w:rsidR="00255C47">
        <w:rPr>
          <w:rFonts w:eastAsia="Times New Roman"/>
          <w:lang w:eastAsia="it-IT"/>
        </w:rPr>
        <w:t xml:space="preserve"> </w:t>
      </w:r>
      <w:r w:rsidRPr="002F3B02">
        <w:rPr>
          <w:rFonts w:eastAsia="Times New Roman"/>
          <w:lang w:eastAsia="it-IT"/>
        </w:rPr>
        <w:t xml:space="preserve">If the amount of the advance payment exceeds the total grant calculated based on the actual mobility period, the difference will need to be repaid. The participant will receive an email with repayment instructions. </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Students must attend at least one of the didactical activities foreseen in the Learning Agreement (LA). If a student fails to participate at 90% of all the courses listed in the LA, they will be required to return the financial contribution received.</w:t>
      </w:r>
      <w:r w:rsidRPr="002F3B02">
        <w:rPr>
          <w:rFonts w:eastAsia="Times New Roman"/>
          <w:lang w:eastAsia="it-IT"/>
        </w:rPr>
        <w:br/>
        <w:t xml:space="preserve">Applicants must provide proof of attendance: classes, the laboratory or internship and a report of the research activity. If the certificate of attendance and the report is not provided, the participant will be required to return the financial contribution received. </w:t>
      </w:r>
    </w:p>
    <w:p w:rsidR="00255C47" w:rsidRDefault="00255C47" w:rsidP="002F3B02">
      <w:pPr>
        <w:pStyle w:val="Corpotesto"/>
        <w:ind w:left="0" w:firstLine="0"/>
        <w:rPr>
          <w:rFonts w:ascii="Arial,Bold" w:eastAsia="Times New Roman" w:hAnsi="Arial,Bold" w:cs="Times New Roman"/>
          <w:lang w:eastAsia="it-IT"/>
        </w:rPr>
      </w:pPr>
    </w:p>
    <w:p w:rsidR="002F3B02" w:rsidRPr="00255C47" w:rsidRDefault="002F3B02" w:rsidP="002F3B02">
      <w:pPr>
        <w:pStyle w:val="Corpotesto"/>
        <w:ind w:left="0" w:firstLine="0"/>
        <w:rPr>
          <w:rFonts w:ascii="Times New Roman" w:eastAsia="Times New Roman" w:hAnsi="Times New Roman" w:cs="Times New Roman"/>
          <w:b/>
          <w:sz w:val="24"/>
          <w:szCs w:val="24"/>
          <w:lang w:eastAsia="it-IT"/>
        </w:rPr>
      </w:pPr>
      <w:r w:rsidRPr="00255C47">
        <w:rPr>
          <w:rFonts w:ascii="Arial,Bold" w:eastAsia="Times New Roman" w:hAnsi="Arial,Bold" w:cs="Times New Roman"/>
          <w:b/>
          <w:lang w:eastAsia="it-IT"/>
        </w:rPr>
        <w:t xml:space="preserve">8.4. Other Contributions </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 xml:space="preserve">The financial support provided by the PNRR/TNE Health Connect international mobility project is compatible with other grants provided by regional authorities or other entities, as long as these funds do not originate from European sources, in compliance with the ban on double funding. </w:t>
      </w:r>
    </w:p>
    <w:p w:rsidR="00255C47" w:rsidRDefault="00255C47" w:rsidP="002F3B02">
      <w:pPr>
        <w:pStyle w:val="Corpotesto"/>
        <w:ind w:left="0" w:firstLine="0"/>
        <w:rPr>
          <w:rFonts w:ascii="Arial,Bold" w:eastAsia="Times New Roman" w:hAnsi="Arial,Bold" w:cs="Times New Roman"/>
          <w:lang w:eastAsia="it-IT"/>
        </w:rPr>
      </w:pPr>
    </w:p>
    <w:p w:rsidR="002F3B02" w:rsidRPr="002F3B02" w:rsidRDefault="002F3B02" w:rsidP="00255C47">
      <w:pPr>
        <w:pStyle w:val="Titolo1"/>
        <w:rPr>
          <w:rFonts w:ascii="Times New Roman" w:hAnsi="Times New Roman"/>
          <w:sz w:val="24"/>
          <w:szCs w:val="24"/>
          <w:lang w:eastAsia="it-IT"/>
        </w:rPr>
      </w:pPr>
      <w:r w:rsidRPr="002F3B02">
        <w:rPr>
          <w:lang w:eastAsia="it-IT"/>
        </w:rPr>
        <w:t xml:space="preserve">9 - Recognition of Educational Activities Undertaken During Mobility </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 xml:space="preserve">At the end of the mobility period, the partner universities guarantee full recognition of the academic activities completed abroad and certified by the host university through the </w:t>
      </w:r>
      <w:r w:rsidRPr="002F3B02">
        <w:rPr>
          <w:rFonts w:ascii="Arial,Italic" w:eastAsia="Times New Roman" w:hAnsi="Arial,Italic" w:cs="Times New Roman"/>
          <w:lang w:eastAsia="it-IT"/>
        </w:rPr>
        <w:t>Transcript of Records- TOR</w:t>
      </w:r>
      <w:r w:rsidRPr="002F3B02">
        <w:rPr>
          <w:rFonts w:eastAsia="Times New Roman"/>
          <w:lang w:eastAsia="it-IT"/>
        </w:rPr>
        <w:t xml:space="preserve">. Recognition of study periods will be carried out in accordance with the internal regulations of each university. </w:t>
      </w:r>
    </w:p>
    <w:p w:rsidR="00255C47" w:rsidRPr="00710C12" w:rsidRDefault="00255C47" w:rsidP="002F3B02">
      <w:pPr>
        <w:pStyle w:val="Corpotesto"/>
        <w:ind w:left="0" w:firstLine="0"/>
        <w:rPr>
          <w:rFonts w:ascii="Times New Roman" w:eastAsia="Times New Roman" w:hAnsi="Times New Roman" w:cs="Times New Roman"/>
          <w:sz w:val="24"/>
          <w:szCs w:val="24"/>
          <w:lang w:eastAsia="it-IT"/>
        </w:rPr>
      </w:pPr>
    </w:p>
    <w:p w:rsidR="002F3B02" w:rsidRPr="002F3B02" w:rsidRDefault="002F3B02" w:rsidP="00255C47">
      <w:pPr>
        <w:pStyle w:val="Titolo1"/>
        <w:rPr>
          <w:rFonts w:ascii="Times New Roman" w:hAnsi="Times New Roman"/>
          <w:sz w:val="24"/>
          <w:szCs w:val="24"/>
          <w:lang w:eastAsia="it-IT"/>
        </w:rPr>
      </w:pPr>
      <w:r w:rsidRPr="002F3B02">
        <w:rPr>
          <w:lang w:eastAsia="it-IT"/>
        </w:rPr>
        <w:t xml:space="preserve">10 - Insurance </w:t>
      </w:r>
    </w:p>
    <w:p w:rsidR="00255C47" w:rsidRDefault="002F3B02" w:rsidP="002F3B02">
      <w:pPr>
        <w:pStyle w:val="Corpotesto"/>
        <w:ind w:left="0" w:firstLine="0"/>
        <w:rPr>
          <w:rFonts w:eastAsia="Times New Roman"/>
          <w:lang w:eastAsia="it-IT"/>
        </w:rPr>
      </w:pPr>
      <w:r w:rsidRPr="002F3B02">
        <w:rPr>
          <w:rFonts w:eastAsia="Times New Roman"/>
          <w:lang w:eastAsia="it-IT"/>
        </w:rPr>
        <w:t>The partner universities of the Health Connect project offer insurance coverage for accidents and third-party liability at the study/work site for all participants.</w:t>
      </w:r>
    </w:p>
    <w:p w:rsidR="00255C47" w:rsidRDefault="002F3B02" w:rsidP="002F3B02">
      <w:pPr>
        <w:pStyle w:val="Corpotesto"/>
        <w:ind w:left="0" w:firstLine="0"/>
        <w:rPr>
          <w:rFonts w:eastAsia="Times New Roman"/>
          <w:lang w:eastAsia="it-IT"/>
        </w:rPr>
      </w:pPr>
      <w:r w:rsidRPr="002F3B02">
        <w:rPr>
          <w:rFonts w:eastAsia="Times New Roman"/>
          <w:lang w:eastAsia="it-IT"/>
        </w:rPr>
        <w:t xml:space="preserve">Participants are responsible for ensuring adequate health insurance coverage during their stay abroad, under the regulations of the host country. </w:t>
      </w:r>
    </w:p>
    <w:p w:rsidR="00255C47" w:rsidRDefault="00255C47" w:rsidP="002F3B02">
      <w:pPr>
        <w:pStyle w:val="Corpotesto"/>
        <w:ind w:left="0" w:firstLine="0"/>
        <w:rPr>
          <w:rFonts w:ascii="Arial,Bold" w:eastAsia="Times New Roman" w:hAnsi="Arial,Bold" w:cs="Times New Roman"/>
          <w:lang w:eastAsia="it-IT"/>
        </w:rPr>
      </w:pPr>
    </w:p>
    <w:p w:rsidR="002F3B02" w:rsidRPr="002F3B02" w:rsidRDefault="002F3B02" w:rsidP="00255C47">
      <w:pPr>
        <w:pStyle w:val="Titolo1"/>
        <w:rPr>
          <w:rFonts w:ascii="Times New Roman" w:hAnsi="Times New Roman"/>
          <w:sz w:val="24"/>
          <w:szCs w:val="24"/>
          <w:lang w:eastAsia="it-IT"/>
        </w:rPr>
      </w:pPr>
      <w:r w:rsidRPr="002F3B02">
        <w:rPr>
          <w:lang w:eastAsia="it-IT"/>
        </w:rPr>
        <w:t xml:space="preserve">11 - Safety Conditions </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All mobility is subject to an assessment of the security conditions in the destination countries, based on local and national provisions. For students departing from Italian universities, the guidelines of the Italian Ministry of Foreign Affairs and International Cooperation (MAECI) will be followed.</w:t>
      </w:r>
      <w:r w:rsidR="00255C47">
        <w:rPr>
          <w:rFonts w:eastAsia="Times New Roman"/>
          <w:lang w:eastAsia="it-IT"/>
        </w:rPr>
        <w:t xml:space="preserve"> </w:t>
      </w:r>
      <w:r w:rsidRPr="002F3B02">
        <w:rPr>
          <w:rFonts w:eastAsia="Times New Roman"/>
          <w:lang w:eastAsia="it-IT"/>
        </w:rPr>
        <w:t xml:space="preserve">The PNRR/TNE Health Connect Commission reserves the right to exclude applications to countries or regions deemed unsafe due to political crises, armed conflicts, or humanitarian crises. </w:t>
      </w:r>
    </w:p>
    <w:sectPr w:rsidR="002F3B02" w:rsidRPr="002F3B02" w:rsidSect="00255C4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18" w:right="1021" w:bottom="113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67F" w:rsidRDefault="0058267F" w:rsidP="00255C47">
      <w:r>
        <w:separator/>
      </w:r>
    </w:p>
  </w:endnote>
  <w:endnote w:type="continuationSeparator" w:id="0">
    <w:p w:rsidR="0058267F" w:rsidRDefault="0058267F" w:rsidP="0025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Italic">
    <w:altName w:val="Arial"/>
    <w:panose1 w:val="020B0604020202020204"/>
    <w:charset w:val="00"/>
    <w:family w:val="roman"/>
    <w:notTrueType/>
    <w:pitch w:val="default"/>
  </w:font>
  <w:font w:name="Arial,Bold">
    <w:altName w:val="Arial"/>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80A" w:rsidRDefault="00BF180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80A" w:rsidRDefault="00BF180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80A" w:rsidRDefault="00BF18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67F" w:rsidRDefault="0058267F" w:rsidP="00255C47">
      <w:r>
        <w:separator/>
      </w:r>
    </w:p>
  </w:footnote>
  <w:footnote w:type="continuationSeparator" w:id="0">
    <w:p w:rsidR="0058267F" w:rsidRDefault="0058267F" w:rsidP="00255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80A" w:rsidRDefault="00BF180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C47" w:rsidRDefault="00255C47">
    <w:pPr>
      <w:pStyle w:val="Intestazione"/>
    </w:pPr>
    <w:r w:rsidRPr="002F3B02">
      <w:rPr>
        <w:noProof/>
        <w:sz w:val="13"/>
        <w:szCs w:val="13"/>
      </w:rPr>
      <w:drawing>
        <wp:anchor distT="0" distB="0" distL="114300" distR="114300" simplePos="0" relativeHeight="251660288" behindDoc="0" locked="0" layoutInCell="1" allowOverlap="1" wp14:anchorId="1813C6F8" wp14:editId="49C4E079">
          <wp:simplePos x="0" y="0"/>
          <wp:positionH relativeFrom="column">
            <wp:posOffset>5660390</wp:posOffset>
          </wp:positionH>
          <wp:positionV relativeFrom="paragraph">
            <wp:posOffset>-137160</wp:posOffset>
          </wp:positionV>
          <wp:extent cx="1392555" cy="32258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2555" cy="3225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F8CAF8E" wp14:editId="73379973">
          <wp:simplePos x="0" y="0"/>
          <wp:positionH relativeFrom="margin">
            <wp:posOffset>-508000</wp:posOffset>
          </wp:positionH>
          <wp:positionV relativeFrom="margin">
            <wp:posOffset>-722630</wp:posOffset>
          </wp:positionV>
          <wp:extent cx="6115050" cy="611505"/>
          <wp:effectExtent l="0" t="0" r="0" b="0"/>
          <wp:wrapSquare wrapText="bothSides"/>
          <wp:docPr id="15"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5050" cy="61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80A" w:rsidRDefault="00BF18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1B4D"/>
    <w:multiLevelType w:val="multilevel"/>
    <w:tmpl w:val="2B6AD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C0DCC"/>
    <w:multiLevelType w:val="multilevel"/>
    <w:tmpl w:val="E84E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74986"/>
    <w:multiLevelType w:val="hybridMultilevel"/>
    <w:tmpl w:val="D3F86AA8"/>
    <w:lvl w:ilvl="0" w:tplc="0BF89FD8">
      <w:start w:val="1"/>
      <w:numFmt w:val="bullet"/>
      <w:lvlText w:val="-"/>
      <w:lvlJc w:val="left"/>
      <w:pPr>
        <w:ind w:hanging="123"/>
      </w:pPr>
      <w:rPr>
        <w:rFonts w:ascii="Arial" w:eastAsia="Arial" w:hAnsi="Arial" w:hint="default"/>
        <w:w w:val="99"/>
        <w:sz w:val="20"/>
        <w:szCs w:val="20"/>
      </w:rPr>
    </w:lvl>
    <w:lvl w:ilvl="1" w:tplc="D322798C">
      <w:start w:val="1"/>
      <w:numFmt w:val="bullet"/>
      <w:lvlText w:val="•"/>
      <w:lvlJc w:val="left"/>
      <w:rPr>
        <w:rFonts w:hint="default"/>
      </w:rPr>
    </w:lvl>
    <w:lvl w:ilvl="2" w:tplc="933AB00E">
      <w:start w:val="1"/>
      <w:numFmt w:val="bullet"/>
      <w:lvlText w:val="•"/>
      <w:lvlJc w:val="left"/>
      <w:rPr>
        <w:rFonts w:hint="default"/>
      </w:rPr>
    </w:lvl>
    <w:lvl w:ilvl="3" w:tplc="B37052B0">
      <w:start w:val="1"/>
      <w:numFmt w:val="bullet"/>
      <w:lvlText w:val="•"/>
      <w:lvlJc w:val="left"/>
      <w:rPr>
        <w:rFonts w:hint="default"/>
      </w:rPr>
    </w:lvl>
    <w:lvl w:ilvl="4" w:tplc="958EF9BE">
      <w:start w:val="1"/>
      <w:numFmt w:val="bullet"/>
      <w:lvlText w:val="•"/>
      <w:lvlJc w:val="left"/>
      <w:rPr>
        <w:rFonts w:hint="default"/>
      </w:rPr>
    </w:lvl>
    <w:lvl w:ilvl="5" w:tplc="B3B255C2">
      <w:start w:val="1"/>
      <w:numFmt w:val="bullet"/>
      <w:lvlText w:val="•"/>
      <w:lvlJc w:val="left"/>
      <w:rPr>
        <w:rFonts w:hint="default"/>
      </w:rPr>
    </w:lvl>
    <w:lvl w:ilvl="6" w:tplc="5EC06D4A">
      <w:start w:val="1"/>
      <w:numFmt w:val="bullet"/>
      <w:lvlText w:val="•"/>
      <w:lvlJc w:val="left"/>
      <w:rPr>
        <w:rFonts w:hint="default"/>
      </w:rPr>
    </w:lvl>
    <w:lvl w:ilvl="7" w:tplc="52AAB01C">
      <w:start w:val="1"/>
      <w:numFmt w:val="bullet"/>
      <w:lvlText w:val="•"/>
      <w:lvlJc w:val="left"/>
      <w:rPr>
        <w:rFonts w:hint="default"/>
      </w:rPr>
    </w:lvl>
    <w:lvl w:ilvl="8" w:tplc="C73E2FBE">
      <w:start w:val="1"/>
      <w:numFmt w:val="bullet"/>
      <w:lvlText w:val="•"/>
      <w:lvlJc w:val="left"/>
      <w:rPr>
        <w:rFonts w:hint="default"/>
      </w:rPr>
    </w:lvl>
  </w:abstractNum>
  <w:abstractNum w:abstractNumId="3" w15:restartNumberingAfterBreak="0">
    <w:nsid w:val="3E741A0C"/>
    <w:multiLevelType w:val="hybridMultilevel"/>
    <w:tmpl w:val="5240DFC4"/>
    <w:lvl w:ilvl="0" w:tplc="3A6A6E00">
      <w:start w:val="1"/>
      <w:numFmt w:val="decimal"/>
      <w:lvlText w:val="%1."/>
      <w:lvlJc w:val="left"/>
      <w:pPr>
        <w:ind w:left="740" w:hanging="380"/>
      </w:pPr>
      <w:rPr>
        <w:rFonts w:ascii="Arial" w:hAnsi="Arial" w:cstheme="minorBidi"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0612A7"/>
    <w:multiLevelType w:val="hybridMultilevel"/>
    <w:tmpl w:val="79EA76EC"/>
    <w:lvl w:ilvl="0" w:tplc="3A6A6E00">
      <w:start w:val="1"/>
      <w:numFmt w:val="decimal"/>
      <w:lvlText w:val="%1."/>
      <w:lvlJc w:val="left"/>
      <w:pPr>
        <w:ind w:left="740" w:hanging="380"/>
      </w:pPr>
      <w:rPr>
        <w:rFonts w:ascii="Arial" w:hAnsi="Arial" w:cstheme="minorBidi"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49004A1"/>
    <w:multiLevelType w:val="multilevel"/>
    <w:tmpl w:val="A6A4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B6B7D"/>
    <w:multiLevelType w:val="multilevel"/>
    <w:tmpl w:val="B334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1822E1"/>
    <w:multiLevelType w:val="multilevel"/>
    <w:tmpl w:val="7A3C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7"/>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48"/>
    <w:rsid w:val="000334FB"/>
    <w:rsid w:val="00034FE6"/>
    <w:rsid w:val="002472E8"/>
    <w:rsid w:val="00255C47"/>
    <w:rsid w:val="002F3B02"/>
    <w:rsid w:val="0038689D"/>
    <w:rsid w:val="00405448"/>
    <w:rsid w:val="00561B53"/>
    <w:rsid w:val="00563792"/>
    <w:rsid w:val="0058267F"/>
    <w:rsid w:val="00710C12"/>
    <w:rsid w:val="008F7C6A"/>
    <w:rsid w:val="00AA39CA"/>
    <w:rsid w:val="00BF180A"/>
    <w:rsid w:val="00CE21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7B4F4-5599-4AF2-9111-48182BF0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style>
  <w:style w:type="paragraph" w:styleId="Titolo1">
    <w:name w:val="heading 1"/>
    <w:basedOn w:val="Normale"/>
    <w:uiPriority w:val="1"/>
    <w:qFormat/>
    <w:rsid w:val="00255C47"/>
    <w:pPr>
      <w:jc w:val="center"/>
      <w:outlineLvl w:val="0"/>
    </w:pPr>
    <w:rPr>
      <w:rFonts w:ascii="Arial" w:eastAsia="Verdana" w:hAnsi="Arial"/>
      <w:b/>
      <w:bCs/>
      <w:sz w:val="20"/>
    </w:rPr>
  </w:style>
  <w:style w:type="paragraph" w:styleId="Titolo2">
    <w:name w:val="heading 2"/>
    <w:basedOn w:val="Normale"/>
    <w:uiPriority w:val="1"/>
    <w:qFormat/>
    <w:pPr>
      <w:ind w:left="288"/>
      <w:outlineLvl w:val="1"/>
    </w:pPr>
    <w:rPr>
      <w:rFonts w:ascii="Verdana" w:eastAsia="Verdana" w:hAnsi="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F3B02"/>
    <w:pPr>
      <w:ind w:left="281" w:hanging="123"/>
      <w:jc w:val="both"/>
    </w:pPr>
    <w:rPr>
      <w:rFonts w:ascii="Arial" w:eastAsia="Arial" w:hAnsi="Arial"/>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F7C6A"/>
    <w:rPr>
      <w:color w:val="0000FF" w:themeColor="hyperlink"/>
      <w:u w:val="single"/>
    </w:rPr>
  </w:style>
  <w:style w:type="paragraph" w:styleId="NormaleWeb">
    <w:name w:val="Normal (Web)"/>
    <w:basedOn w:val="Normale"/>
    <w:uiPriority w:val="99"/>
    <w:semiHidden/>
    <w:unhideWhenUsed/>
    <w:rsid w:val="002F3B02"/>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styleId="Menzionenonrisolta">
    <w:name w:val="Unresolved Mention"/>
    <w:basedOn w:val="Carpredefinitoparagrafo"/>
    <w:uiPriority w:val="99"/>
    <w:semiHidden/>
    <w:unhideWhenUsed/>
    <w:rsid w:val="002F3B02"/>
    <w:rPr>
      <w:color w:val="605E5C"/>
      <w:shd w:val="clear" w:color="auto" w:fill="E1DFDD"/>
    </w:rPr>
  </w:style>
  <w:style w:type="paragraph" w:styleId="Intestazione">
    <w:name w:val="header"/>
    <w:basedOn w:val="Normale"/>
    <w:link w:val="IntestazioneCarattere"/>
    <w:uiPriority w:val="99"/>
    <w:unhideWhenUsed/>
    <w:rsid w:val="00255C47"/>
    <w:pPr>
      <w:tabs>
        <w:tab w:val="center" w:pos="4819"/>
        <w:tab w:val="right" w:pos="9638"/>
      </w:tabs>
    </w:pPr>
  </w:style>
  <w:style w:type="character" w:customStyle="1" w:styleId="IntestazioneCarattere">
    <w:name w:val="Intestazione Carattere"/>
    <w:basedOn w:val="Carpredefinitoparagrafo"/>
    <w:link w:val="Intestazione"/>
    <w:uiPriority w:val="99"/>
    <w:rsid w:val="00255C47"/>
  </w:style>
  <w:style w:type="paragraph" w:styleId="Pidipagina">
    <w:name w:val="footer"/>
    <w:basedOn w:val="Normale"/>
    <w:link w:val="PidipaginaCarattere"/>
    <w:uiPriority w:val="99"/>
    <w:unhideWhenUsed/>
    <w:rsid w:val="00255C47"/>
    <w:pPr>
      <w:tabs>
        <w:tab w:val="center" w:pos="4819"/>
        <w:tab w:val="right" w:pos="9638"/>
      </w:tabs>
    </w:pPr>
  </w:style>
  <w:style w:type="character" w:customStyle="1" w:styleId="PidipaginaCarattere">
    <w:name w:val="Piè di pagina Carattere"/>
    <w:basedOn w:val="Carpredefinitoparagrafo"/>
    <w:link w:val="Pidipagina"/>
    <w:uiPriority w:val="99"/>
    <w:rsid w:val="00255C47"/>
  </w:style>
  <w:style w:type="character" w:customStyle="1" w:styleId="CorpotestoCarattere">
    <w:name w:val="Corpo testo Carattere"/>
    <w:basedOn w:val="Carpredefinitoparagrafo"/>
    <w:link w:val="Corpotesto"/>
    <w:uiPriority w:val="1"/>
    <w:rsid w:val="00563792"/>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260118">
      <w:bodyDiv w:val="1"/>
      <w:marLeft w:val="0"/>
      <w:marRight w:val="0"/>
      <w:marTop w:val="0"/>
      <w:marBottom w:val="0"/>
      <w:divBdr>
        <w:top w:val="none" w:sz="0" w:space="0" w:color="auto"/>
        <w:left w:val="none" w:sz="0" w:space="0" w:color="auto"/>
        <w:bottom w:val="none" w:sz="0" w:space="0" w:color="auto"/>
        <w:right w:val="none" w:sz="0" w:space="0" w:color="auto"/>
      </w:divBdr>
    </w:div>
    <w:div w:id="1333527812">
      <w:bodyDiv w:val="1"/>
      <w:marLeft w:val="0"/>
      <w:marRight w:val="0"/>
      <w:marTop w:val="0"/>
      <w:marBottom w:val="0"/>
      <w:divBdr>
        <w:top w:val="none" w:sz="0" w:space="0" w:color="auto"/>
        <w:left w:val="none" w:sz="0" w:space="0" w:color="auto"/>
        <w:bottom w:val="none" w:sz="0" w:space="0" w:color="auto"/>
        <w:right w:val="none" w:sz="0" w:space="0" w:color="auto"/>
      </w:divBdr>
    </w:div>
    <w:div w:id="1918392380">
      <w:bodyDiv w:val="1"/>
      <w:marLeft w:val="0"/>
      <w:marRight w:val="0"/>
      <w:marTop w:val="0"/>
      <w:marBottom w:val="0"/>
      <w:divBdr>
        <w:top w:val="none" w:sz="0" w:space="0" w:color="auto"/>
        <w:left w:val="none" w:sz="0" w:space="0" w:color="auto"/>
        <w:bottom w:val="none" w:sz="0" w:space="0" w:color="auto"/>
        <w:right w:val="none" w:sz="0" w:space="0" w:color="auto"/>
      </w:divBdr>
      <w:divsChild>
        <w:div w:id="157499086">
          <w:marLeft w:val="0"/>
          <w:marRight w:val="0"/>
          <w:marTop w:val="0"/>
          <w:marBottom w:val="0"/>
          <w:divBdr>
            <w:top w:val="none" w:sz="0" w:space="0" w:color="auto"/>
            <w:left w:val="none" w:sz="0" w:space="0" w:color="auto"/>
            <w:bottom w:val="none" w:sz="0" w:space="0" w:color="auto"/>
            <w:right w:val="none" w:sz="0" w:space="0" w:color="auto"/>
          </w:divBdr>
          <w:divsChild>
            <w:div w:id="17851122">
              <w:marLeft w:val="0"/>
              <w:marRight w:val="0"/>
              <w:marTop w:val="0"/>
              <w:marBottom w:val="0"/>
              <w:divBdr>
                <w:top w:val="none" w:sz="0" w:space="0" w:color="auto"/>
                <w:left w:val="none" w:sz="0" w:space="0" w:color="auto"/>
                <w:bottom w:val="none" w:sz="0" w:space="0" w:color="auto"/>
                <w:right w:val="none" w:sz="0" w:space="0" w:color="auto"/>
              </w:divBdr>
              <w:divsChild>
                <w:div w:id="4025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97">
          <w:marLeft w:val="0"/>
          <w:marRight w:val="0"/>
          <w:marTop w:val="0"/>
          <w:marBottom w:val="0"/>
          <w:divBdr>
            <w:top w:val="none" w:sz="0" w:space="0" w:color="auto"/>
            <w:left w:val="none" w:sz="0" w:space="0" w:color="auto"/>
            <w:bottom w:val="none" w:sz="0" w:space="0" w:color="auto"/>
            <w:right w:val="none" w:sz="0" w:space="0" w:color="auto"/>
          </w:divBdr>
          <w:divsChild>
            <w:div w:id="770709987">
              <w:marLeft w:val="0"/>
              <w:marRight w:val="0"/>
              <w:marTop w:val="0"/>
              <w:marBottom w:val="0"/>
              <w:divBdr>
                <w:top w:val="none" w:sz="0" w:space="0" w:color="auto"/>
                <w:left w:val="none" w:sz="0" w:space="0" w:color="auto"/>
                <w:bottom w:val="none" w:sz="0" w:space="0" w:color="auto"/>
                <w:right w:val="none" w:sz="0" w:space="0" w:color="auto"/>
              </w:divBdr>
              <w:divsChild>
                <w:div w:id="18998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5732">
          <w:marLeft w:val="0"/>
          <w:marRight w:val="0"/>
          <w:marTop w:val="0"/>
          <w:marBottom w:val="0"/>
          <w:divBdr>
            <w:top w:val="none" w:sz="0" w:space="0" w:color="auto"/>
            <w:left w:val="none" w:sz="0" w:space="0" w:color="auto"/>
            <w:bottom w:val="none" w:sz="0" w:space="0" w:color="auto"/>
            <w:right w:val="none" w:sz="0" w:space="0" w:color="auto"/>
          </w:divBdr>
          <w:divsChild>
            <w:div w:id="1182931316">
              <w:marLeft w:val="0"/>
              <w:marRight w:val="0"/>
              <w:marTop w:val="0"/>
              <w:marBottom w:val="0"/>
              <w:divBdr>
                <w:top w:val="none" w:sz="0" w:space="0" w:color="auto"/>
                <w:left w:val="none" w:sz="0" w:space="0" w:color="auto"/>
                <w:bottom w:val="none" w:sz="0" w:space="0" w:color="auto"/>
                <w:right w:val="none" w:sz="0" w:space="0" w:color="auto"/>
              </w:divBdr>
              <w:divsChild>
                <w:div w:id="1491750149">
                  <w:marLeft w:val="0"/>
                  <w:marRight w:val="0"/>
                  <w:marTop w:val="0"/>
                  <w:marBottom w:val="0"/>
                  <w:divBdr>
                    <w:top w:val="none" w:sz="0" w:space="0" w:color="auto"/>
                    <w:left w:val="none" w:sz="0" w:space="0" w:color="auto"/>
                    <w:bottom w:val="none" w:sz="0" w:space="0" w:color="auto"/>
                    <w:right w:val="none" w:sz="0" w:space="0" w:color="auto"/>
                  </w:divBdr>
                </w:div>
              </w:divsChild>
            </w:div>
            <w:div w:id="354816624">
              <w:marLeft w:val="0"/>
              <w:marRight w:val="0"/>
              <w:marTop w:val="0"/>
              <w:marBottom w:val="0"/>
              <w:divBdr>
                <w:top w:val="none" w:sz="0" w:space="0" w:color="auto"/>
                <w:left w:val="none" w:sz="0" w:space="0" w:color="auto"/>
                <w:bottom w:val="none" w:sz="0" w:space="0" w:color="auto"/>
                <w:right w:val="none" w:sz="0" w:space="0" w:color="auto"/>
              </w:divBdr>
              <w:divsChild>
                <w:div w:id="185599764">
                  <w:marLeft w:val="0"/>
                  <w:marRight w:val="0"/>
                  <w:marTop w:val="0"/>
                  <w:marBottom w:val="0"/>
                  <w:divBdr>
                    <w:top w:val="none" w:sz="0" w:space="0" w:color="auto"/>
                    <w:left w:val="none" w:sz="0" w:space="0" w:color="auto"/>
                    <w:bottom w:val="none" w:sz="0" w:space="0" w:color="auto"/>
                    <w:right w:val="none" w:sz="0" w:space="0" w:color="auto"/>
                  </w:divBdr>
                </w:div>
                <w:div w:id="130368691">
                  <w:marLeft w:val="0"/>
                  <w:marRight w:val="0"/>
                  <w:marTop w:val="0"/>
                  <w:marBottom w:val="0"/>
                  <w:divBdr>
                    <w:top w:val="none" w:sz="0" w:space="0" w:color="auto"/>
                    <w:left w:val="none" w:sz="0" w:space="0" w:color="auto"/>
                    <w:bottom w:val="none" w:sz="0" w:space="0" w:color="auto"/>
                    <w:right w:val="none" w:sz="0" w:space="0" w:color="auto"/>
                  </w:divBdr>
                </w:div>
              </w:divsChild>
            </w:div>
            <w:div w:id="1814910874">
              <w:marLeft w:val="0"/>
              <w:marRight w:val="0"/>
              <w:marTop w:val="0"/>
              <w:marBottom w:val="0"/>
              <w:divBdr>
                <w:top w:val="none" w:sz="0" w:space="0" w:color="auto"/>
                <w:left w:val="none" w:sz="0" w:space="0" w:color="auto"/>
                <w:bottom w:val="none" w:sz="0" w:space="0" w:color="auto"/>
                <w:right w:val="none" w:sz="0" w:space="0" w:color="auto"/>
              </w:divBdr>
              <w:divsChild>
                <w:div w:id="1526678118">
                  <w:marLeft w:val="0"/>
                  <w:marRight w:val="0"/>
                  <w:marTop w:val="0"/>
                  <w:marBottom w:val="0"/>
                  <w:divBdr>
                    <w:top w:val="none" w:sz="0" w:space="0" w:color="auto"/>
                    <w:left w:val="none" w:sz="0" w:space="0" w:color="auto"/>
                    <w:bottom w:val="none" w:sz="0" w:space="0" w:color="auto"/>
                    <w:right w:val="none" w:sz="0" w:space="0" w:color="auto"/>
                  </w:divBdr>
                </w:div>
              </w:divsChild>
            </w:div>
            <w:div w:id="219561745">
              <w:marLeft w:val="0"/>
              <w:marRight w:val="0"/>
              <w:marTop w:val="0"/>
              <w:marBottom w:val="0"/>
              <w:divBdr>
                <w:top w:val="none" w:sz="0" w:space="0" w:color="auto"/>
                <w:left w:val="none" w:sz="0" w:space="0" w:color="auto"/>
                <w:bottom w:val="none" w:sz="0" w:space="0" w:color="auto"/>
                <w:right w:val="none" w:sz="0" w:space="0" w:color="auto"/>
              </w:divBdr>
              <w:divsChild>
                <w:div w:id="1974019415">
                  <w:marLeft w:val="0"/>
                  <w:marRight w:val="0"/>
                  <w:marTop w:val="0"/>
                  <w:marBottom w:val="0"/>
                  <w:divBdr>
                    <w:top w:val="none" w:sz="0" w:space="0" w:color="auto"/>
                    <w:left w:val="none" w:sz="0" w:space="0" w:color="auto"/>
                    <w:bottom w:val="none" w:sz="0" w:space="0" w:color="auto"/>
                    <w:right w:val="none" w:sz="0" w:space="0" w:color="auto"/>
                  </w:divBdr>
                  <w:divsChild>
                    <w:div w:id="1627003292">
                      <w:marLeft w:val="0"/>
                      <w:marRight w:val="0"/>
                      <w:marTop w:val="0"/>
                      <w:marBottom w:val="0"/>
                      <w:divBdr>
                        <w:top w:val="none" w:sz="0" w:space="0" w:color="auto"/>
                        <w:left w:val="none" w:sz="0" w:space="0" w:color="auto"/>
                        <w:bottom w:val="none" w:sz="0" w:space="0" w:color="auto"/>
                        <w:right w:val="none" w:sz="0" w:space="0" w:color="auto"/>
                      </w:divBdr>
                    </w:div>
                  </w:divsChild>
                </w:div>
                <w:div w:id="2126731531">
                  <w:marLeft w:val="0"/>
                  <w:marRight w:val="0"/>
                  <w:marTop w:val="0"/>
                  <w:marBottom w:val="0"/>
                  <w:divBdr>
                    <w:top w:val="none" w:sz="0" w:space="0" w:color="auto"/>
                    <w:left w:val="none" w:sz="0" w:space="0" w:color="auto"/>
                    <w:bottom w:val="none" w:sz="0" w:space="0" w:color="auto"/>
                    <w:right w:val="none" w:sz="0" w:space="0" w:color="auto"/>
                  </w:divBdr>
                  <w:divsChild>
                    <w:div w:id="449323150">
                      <w:marLeft w:val="0"/>
                      <w:marRight w:val="0"/>
                      <w:marTop w:val="0"/>
                      <w:marBottom w:val="0"/>
                      <w:divBdr>
                        <w:top w:val="none" w:sz="0" w:space="0" w:color="auto"/>
                        <w:left w:val="none" w:sz="0" w:space="0" w:color="auto"/>
                        <w:bottom w:val="none" w:sz="0" w:space="0" w:color="auto"/>
                        <w:right w:val="none" w:sz="0" w:space="0" w:color="auto"/>
                      </w:divBdr>
                    </w:div>
                  </w:divsChild>
                </w:div>
                <w:div w:id="1588076519">
                  <w:marLeft w:val="0"/>
                  <w:marRight w:val="0"/>
                  <w:marTop w:val="0"/>
                  <w:marBottom w:val="0"/>
                  <w:divBdr>
                    <w:top w:val="none" w:sz="0" w:space="0" w:color="auto"/>
                    <w:left w:val="none" w:sz="0" w:space="0" w:color="auto"/>
                    <w:bottom w:val="none" w:sz="0" w:space="0" w:color="auto"/>
                    <w:right w:val="none" w:sz="0" w:space="0" w:color="auto"/>
                  </w:divBdr>
                  <w:divsChild>
                    <w:div w:id="182593428">
                      <w:marLeft w:val="0"/>
                      <w:marRight w:val="0"/>
                      <w:marTop w:val="0"/>
                      <w:marBottom w:val="0"/>
                      <w:divBdr>
                        <w:top w:val="none" w:sz="0" w:space="0" w:color="auto"/>
                        <w:left w:val="none" w:sz="0" w:space="0" w:color="auto"/>
                        <w:bottom w:val="none" w:sz="0" w:space="0" w:color="auto"/>
                        <w:right w:val="none" w:sz="0" w:space="0" w:color="auto"/>
                      </w:divBdr>
                    </w:div>
                  </w:divsChild>
                </w:div>
                <w:div w:id="1450859140">
                  <w:marLeft w:val="0"/>
                  <w:marRight w:val="0"/>
                  <w:marTop w:val="0"/>
                  <w:marBottom w:val="0"/>
                  <w:divBdr>
                    <w:top w:val="none" w:sz="0" w:space="0" w:color="auto"/>
                    <w:left w:val="none" w:sz="0" w:space="0" w:color="auto"/>
                    <w:bottom w:val="none" w:sz="0" w:space="0" w:color="auto"/>
                    <w:right w:val="none" w:sz="0" w:space="0" w:color="auto"/>
                  </w:divBdr>
                  <w:divsChild>
                    <w:div w:id="1653829065">
                      <w:marLeft w:val="0"/>
                      <w:marRight w:val="0"/>
                      <w:marTop w:val="0"/>
                      <w:marBottom w:val="0"/>
                      <w:divBdr>
                        <w:top w:val="none" w:sz="0" w:space="0" w:color="auto"/>
                        <w:left w:val="none" w:sz="0" w:space="0" w:color="auto"/>
                        <w:bottom w:val="none" w:sz="0" w:space="0" w:color="auto"/>
                        <w:right w:val="none" w:sz="0" w:space="0" w:color="auto"/>
                      </w:divBdr>
                    </w:div>
                  </w:divsChild>
                </w:div>
                <w:div w:id="160656294">
                  <w:marLeft w:val="0"/>
                  <w:marRight w:val="0"/>
                  <w:marTop w:val="0"/>
                  <w:marBottom w:val="0"/>
                  <w:divBdr>
                    <w:top w:val="none" w:sz="0" w:space="0" w:color="auto"/>
                    <w:left w:val="none" w:sz="0" w:space="0" w:color="auto"/>
                    <w:bottom w:val="none" w:sz="0" w:space="0" w:color="auto"/>
                    <w:right w:val="none" w:sz="0" w:space="0" w:color="auto"/>
                  </w:divBdr>
                  <w:divsChild>
                    <w:div w:id="174927755">
                      <w:marLeft w:val="0"/>
                      <w:marRight w:val="0"/>
                      <w:marTop w:val="0"/>
                      <w:marBottom w:val="0"/>
                      <w:divBdr>
                        <w:top w:val="none" w:sz="0" w:space="0" w:color="auto"/>
                        <w:left w:val="none" w:sz="0" w:space="0" w:color="auto"/>
                        <w:bottom w:val="none" w:sz="0" w:space="0" w:color="auto"/>
                        <w:right w:val="none" w:sz="0" w:space="0" w:color="auto"/>
                      </w:divBdr>
                    </w:div>
                  </w:divsChild>
                </w:div>
                <w:div w:id="1329407336">
                  <w:marLeft w:val="0"/>
                  <w:marRight w:val="0"/>
                  <w:marTop w:val="0"/>
                  <w:marBottom w:val="0"/>
                  <w:divBdr>
                    <w:top w:val="none" w:sz="0" w:space="0" w:color="auto"/>
                    <w:left w:val="none" w:sz="0" w:space="0" w:color="auto"/>
                    <w:bottom w:val="none" w:sz="0" w:space="0" w:color="auto"/>
                    <w:right w:val="none" w:sz="0" w:space="0" w:color="auto"/>
                  </w:divBdr>
                  <w:divsChild>
                    <w:div w:id="1505248012">
                      <w:marLeft w:val="0"/>
                      <w:marRight w:val="0"/>
                      <w:marTop w:val="0"/>
                      <w:marBottom w:val="0"/>
                      <w:divBdr>
                        <w:top w:val="none" w:sz="0" w:space="0" w:color="auto"/>
                        <w:left w:val="none" w:sz="0" w:space="0" w:color="auto"/>
                        <w:bottom w:val="none" w:sz="0" w:space="0" w:color="auto"/>
                        <w:right w:val="none" w:sz="0" w:space="0" w:color="auto"/>
                      </w:divBdr>
                    </w:div>
                  </w:divsChild>
                </w:div>
                <w:div w:id="2057700993">
                  <w:marLeft w:val="0"/>
                  <w:marRight w:val="0"/>
                  <w:marTop w:val="0"/>
                  <w:marBottom w:val="0"/>
                  <w:divBdr>
                    <w:top w:val="none" w:sz="0" w:space="0" w:color="auto"/>
                    <w:left w:val="none" w:sz="0" w:space="0" w:color="auto"/>
                    <w:bottom w:val="none" w:sz="0" w:space="0" w:color="auto"/>
                    <w:right w:val="none" w:sz="0" w:space="0" w:color="auto"/>
                  </w:divBdr>
                  <w:divsChild>
                    <w:div w:id="4689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4280">
          <w:marLeft w:val="0"/>
          <w:marRight w:val="0"/>
          <w:marTop w:val="0"/>
          <w:marBottom w:val="0"/>
          <w:divBdr>
            <w:top w:val="none" w:sz="0" w:space="0" w:color="auto"/>
            <w:left w:val="none" w:sz="0" w:space="0" w:color="auto"/>
            <w:bottom w:val="none" w:sz="0" w:space="0" w:color="auto"/>
            <w:right w:val="none" w:sz="0" w:space="0" w:color="auto"/>
          </w:divBdr>
          <w:divsChild>
            <w:div w:id="1821996709">
              <w:marLeft w:val="0"/>
              <w:marRight w:val="0"/>
              <w:marTop w:val="0"/>
              <w:marBottom w:val="0"/>
              <w:divBdr>
                <w:top w:val="none" w:sz="0" w:space="0" w:color="auto"/>
                <w:left w:val="none" w:sz="0" w:space="0" w:color="auto"/>
                <w:bottom w:val="none" w:sz="0" w:space="0" w:color="auto"/>
                <w:right w:val="none" w:sz="0" w:space="0" w:color="auto"/>
              </w:divBdr>
              <w:divsChild>
                <w:div w:id="17770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525">
          <w:marLeft w:val="0"/>
          <w:marRight w:val="0"/>
          <w:marTop w:val="0"/>
          <w:marBottom w:val="0"/>
          <w:divBdr>
            <w:top w:val="none" w:sz="0" w:space="0" w:color="auto"/>
            <w:left w:val="none" w:sz="0" w:space="0" w:color="auto"/>
            <w:bottom w:val="none" w:sz="0" w:space="0" w:color="auto"/>
            <w:right w:val="none" w:sz="0" w:space="0" w:color="auto"/>
          </w:divBdr>
          <w:divsChild>
            <w:div w:id="1328560806">
              <w:marLeft w:val="0"/>
              <w:marRight w:val="0"/>
              <w:marTop w:val="0"/>
              <w:marBottom w:val="0"/>
              <w:divBdr>
                <w:top w:val="none" w:sz="0" w:space="0" w:color="auto"/>
                <w:left w:val="none" w:sz="0" w:space="0" w:color="auto"/>
                <w:bottom w:val="none" w:sz="0" w:space="0" w:color="auto"/>
                <w:right w:val="none" w:sz="0" w:space="0" w:color="auto"/>
              </w:divBdr>
              <w:divsChild>
                <w:div w:id="20926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lum.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um.it/TNE_HealthConnec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um.it/TNE_HealthConnec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1901</Words>
  <Characters>10837</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dc:creator>
  <cp:lastModifiedBy>Microsoft Office User</cp:lastModifiedBy>
  <cp:revision>6</cp:revision>
  <dcterms:created xsi:type="dcterms:W3CDTF">2025-07-01T09:00:00Z</dcterms:created>
  <dcterms:modified xsi:type="dcterms:W3CDTF">2025-07-01T10:40:00Z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LastSaved">
    <vt:filetime>2025-03-28T00:00:00Z</vt:filetime>
  </property>
</Properties>
</file>